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4"/>
        <w:tabs>
          <w:tab w:val="right" w:pos="9360"/>
        </w:tabs>
        <w:spacing w:after="60" w:line="240" w:lineRule="auto"/>
        <w:jc w:val="both"/>
        <w:rPr>
          <w:rFonts w:hint="default" w:eastAsia="宋体" w:cs="Arial"/>
          <w:b/>
          <w:color w:val="FFFFFF"/>
          <w:sz w:val="22"/>
          <w:szCs w:val="22"/>
          <w:lang w:val="en-US" w:eastAsia="zh-CN"/>
        </w:rPr>
      </w:pPr>
      <w:bookmarkStart w:id="0" w:name="OLE_LINK6"/>
      <w:bookmarkStart w:id="8" w:name="_GoBack"/>
      <w:bookmarkEnd w:id="8"/>
      <w:r>
        <w:rPr>
          <w:rFonts w:cs="Arial"/>
          <w:b/>
          <w:sz w:val="22"/>
          <w:szCs w:val="22"/>
          <w:lang w:val="sv-SE" w:eastAsia="zh-CN"/>
        </w:rPr>
        <w:t>3GPP TSG</w:t>
      </w:r>
      <w:r>
        <w:rPr>
          <w:rFonts w:eastAsia="宋体" w:cs="Arial"/>
          <w:b/>
          <w:sz w:val="22"/>
          <w:szCs w:val="22"/>
          <w:lang w:val="sv-SE" w:eastAsia="zh-CN"/>
        </w:rPr>
        <w:t xml:space="preserve"> </w:t>
      </w:r>
      <w:r>
        <w:rPr>
          <w:rFonts w:cs="Arial"/>
          <w:b/>
          <w:sz w:val="22"/>
          <w:szCs w:val="22"/>
          <w:lang w:val="sv-SE" w:eastAsia="zh-CN"/>
        </w:rPr>
        <w:t>RAN</w:t>
      </w:r>
      <w:r>
        <w:rPr>
          <w:rFonts w:eastAsia="宋体" w:cs="Arial"/>
          <w:b/>
          <w:sz w:val="22"/>
          <w:szCs w:val="22"/>
          <w:lang w:val="sv-SE" w:eastAsia="zh-CN"/>
        </w:rPr>
        <w:t xml:space="preserve"> WG</w:t>
      </w:r>
      <w:r>
        <w:rPr>
          <w:rFonts w:cs="Arial"/>
          <w:b/>
          <w:sz w:val="22"/>
          <w:szCs w:val="22"/>
          <w:lang w:val="sv-SE" w:eastAsia="zh-CN"/>
        </w:rPr>
        <w:t>1</w:t>
      </w:r>
      <w:r>
        <w:rPr>
          <w:rFonts w:eastAsia="宋体" w:cs="Arial"/>
          <w:b/>
          <w:sz w:val="22"/>
          <w:szCs w:val="22"/>
          <w:lang w:val="sv-SE" w:eastAsia="zh-CN"/>
        </w:rPr>
        <w:t xml:space="preserve"> </w:t>
      </w:r>
      <w:r>
        <w:rPr>
          <w:rFonts w:eastAsia="宋体" w:cs="Arial"/>
          <w:b/>
          <w:sz w:val="22"/>
          <w:szCs w:val="22"/>
          <w:lang w:val="en-US" w:eastAsia="zh-CN"/>
        </w:rPr>
        <w:t>#</w:t>
      </w:r>
      <w:r>
        <w:rPr>
          <w:rFonts w:hint="eastAsia" w:eastAsia="宋体" w:cs="Arial"/>
          <w:b/>
          <w:sz w:val="22"/>
          <w:szCs w:val="22"/>
          <w:lang w:val="en-US" w:eastAsia="zh-CN"/>
        </w:rPr>
        <w:t>106-e</w:t>
      </w:r>
      <w:r>
        <w:rPr>
          <w:rFonts w:eastAsia="宋体" w:cs="Arial"/>
          <w:b/>
          <w:sz w:val="22"/>
          <w:szCs w:val="22"/>
          <w:lang w:val="en-US" w:eastAsia="zh-CN"/>
        </w:rPr>
        <w:tab/>
      </w:r>
      <w:r>
        <w:rPr>
          <w:rFonts w:eastAsia="宋体" w:cs="Arial"/>
          <w:b/>
          <w:sz w:val="22"/>
          <w:szCs w:val="22"/>
          <w:lang w:val="sv-SE" w:eastAsia="zh-CN"/>
        </w:rPr>
        <w:t>R1-</w:t>
      </w:r>
      <w:r>
        <w:rPr>
          <w:rFonts w:hint="eastAsia" w:eastAsia="宋体" w:cs="Arial"/>
          <w:b/>
          <w:sz w:val="22"/>
          <w:szCs w:val="22"/>
          <w:lang w:val="en-US" w:eastAsia="zh-CN"/>
        </w:rPr>
        <w:t>2108938</w:t>
      </w:r>
    </w:p>
    <w:p>
      <w:pPr>
        <w:tabs>
          <w:tab w:val="center" w:pos="4536"/>
          <w:tab w:val="right" w:pos="8280"/>
          <w:tab w:val="right" w:pos="9639"/>
        </w:tabs>
        <w:snapToGrid w:val="0"/>
        <w:spacing w:after="0" w:line="240" w:lineRule="auto"/>
        <w:ind w:left="440" w:right="2" w:hanging="440" w:hangingChars="200"/>
        <w:jc w:val="both"/>
        <w:rPr>
          <w:rFonts w:ascii="Arial" w:hAnsi="Arial" w:eastAsia="Batang" w:cs="Arial"/>
          <w:b/>
          <w:sz w:val="22"/>
          <w:szCs w:val="22"/>
          <w:lang w:val="sv-SE" w:eastAsia="zh-CN"/>
        </w:rPr>
      </w:pPr>
      <w:r>
        <w:rPr>
          <w:rFonts w:ascii="Arial" w:hAnsi="Arial" w:eastAsia="Batang" w:cs="Arial"/>
          <w:b/>
          <w:sz w:val="22"/>
          <w:szCs w:val="22"/>
          <w:lang w:val="sv-SE" w:eastAsia="ja-JP"/>
        </w:rPr>
        <w:t xml:space="preserve">e-Meeting, </w:t>
      </w:r>
      <w:r>
        <w:rPr>
          <w:rFonts w:hint="eastAsia" w:ascii="Arial" w:hAnsi="Arial" w:eastAsia="宋体" w:cs="Arial"/>
          <w:b/>
          <w:sz w:val="22"/>
          <w:szCs w:val="22"/>
          <w:lang w:val="en-US" w:eastAsia="zh-CN"/>
        </w:rPr>
        <w:t>Oct 11</w:t>
      </w:r>
      <w:r>
        <w:rPr>
          <w:rFonts w:hint="eastAsia" w:ascii="Arial" w:hAnsi="Arial" w:eastAsia="宋体" w:cs="Arial"/>
          <w:b/>
          <w:sz w:val="22"/>
          <w:szCs w:val="22"/>
          <w:vertAlign w:val="superscript"/>
          <w:lang w:val="en-US" w:eastAsia="zh-CN"/>
        </w:rPr>
        <w:t>th</w:t>
      </w:r>
      <w:r>
        <w:rPr>
          <w:rFonts w:hint="eastAsia" w:ascii="Arial" w:hAnsi="Arial" w:eastAsia="宋体" w:cs="Arial"/>
          <w:b/>
          <w:sz w:val="22"/>
          <w:szCs w:val="22"/>
          <w:lang w:val="en-US" w:eastAsia="zh-CN"/>
        </w:rPr>
        <w:t xml:space="preserve"> -19</w:t>
      </w:r>
      <w:r>
        <w:rPr>
          <w:rFonts w:hint="eastAsia" w:ascii="Arial" w:hAnsi="Arial" w:eastAsia="宋体" w:cs="Arial"/>
          <w:b/>
          <w:sz w:val="22"/>
          <w:szCs w:val="22"/>
          <w:vertAlign w:val="superscript"/>
          <w:lang w:val="en-US" w:eastAsia="zh-CN"/>
        </w:rPr>
        <w:t>th</w:t>
      </w:r>
      <w:r>
        <w:rPr>
          <w:rFonts w:hint="eastAsia" w:ascii="Arial" w:hAnsi="Arial" w:eastAsia="宋体" w:cs="Arial"/>
          <w:b/>
          <w:sz w:val="22"/>
          <w:szCs w:val="22"/>
          <w:lang w:val="en-US" w:eastAsia="zh-CN"/>
        </w:rPr>
        <w:t xml:space="preserve">  2021</w:t>
      </w:r>
    </w:p>
    <w:p>
      <w:pPr>
        <w:pStyle w:val="94"/>
        <w:tabs>
          <w:tab w:val="right" w:pos="9639"/>
        </w:tabs>
        <w:spacing w:after="60" w:line="240" w:lineRule="auto"/>
        <w:jc w:val="both"/>
        <w:rPr>
          <w:rFonts w:eastAsia="宋体" w:cs="Arial"/>
          <w:b/>
          <w:sz w:val="22"/>
          <w:szCs w:val="22"/>
          <w:lang w:val="sv-SE" w:eastAsia="zh-CN"/>
        </w:rPr>
      </w:pPr>
    </w:p>
    <w:p>
      <w:pPr>
        <w:pStyle w:val="20"/>
        <w:spacing w:after="60" w:line="240" w:lineRule="auto"/>
        <w:ind w:left="1797" w:hanging="1797"/>
        <w:jc w:val="both"/>
        <w:rPr>
          <w:rFonts w:cs="Arial"/>
          <w:sz w:val="22"/>
          <w:szCs w:val="22"/>
          <w:lang w:val="en-US" w:eastAsia="zh-CN"/>
        </w:rPr>
      </w:pPr>
      <w:r>
        <w:rPr>
          <w:rFonts w:cs="Arial"/>
          <w:sz w:val="22"/>
          <w:szCs w:val="22"/>
          <w:lang w:eastAsia="zh-CN"/>
        </w:rPr>
        <w:t>Title:</w:t>
      </w:r>
      <w:r>
        <w:rPr>
          <w:rFonts w:cs="Arial"/>
          <w:sz w:val="22"/>
          <w:szCs w:val="22"/>
          <w:lang w:val="en-US" w:eastAsia="zh-CN"/>
        </w:rPr>
        <w:tab/>
      </w:r>
      <w:r>
        <w:rPr>
          <w:rFonts w:cs="Arial"/>
          <w:sz w:val="22"/>
          <w:szCs w:val="22"/>
          <w:lang w:val="en-US" w:eastAsia="zh-CN"/>
        </w:rPr>
        <w:t>Discussion on the PDSCH/PUSCH enhancements for 52.6 to 71GHz</w:t>
      </w:r>
    </w:p>
    <w:p>
      <w:pPr>
        <w:pStyle w:val="20"/>
        <w:tabs>
          <w:tab w:val="left" w:pos="1805"/>
        </w:tabs>
        <w:spacing w:after="60" w:line="240" w:lineRule="auto"/>
        <w:ind w:left="1797" w:hanging="1797"/>
        <w:jc w:val="both"/>
        <w:rPr>
          <w:rFonts w:cs="Arial"/>
          <w:sz w:val="22"/>
          <w:szCs w:val="22"/>
          <w:lang w:eastAsia="zh-CN"/>
        </w:rPr>
      </w:pPr>
      <w:r>
        <w:rPr>
          <w:rFonts w:cs="Arial"/>
          <w:sz w:val="22"/>
          <w:szCs w:val="22"/>
          <w:lang w:eastAsia="zh-CN"/>
        </w:rPr>
        <w:t xml:space="preserve">Source: </w:t>
      </w:r>
      <w:r>
        <w:rPr>
          <w:rFonts w:cs="Arial"/>
          <w:sz w:val="22"/>
          <w:szCs w:val="22"/>
          <w:lang w:eastAsia="zh-CN"/>
        </w:rPr>
        <w:tab/>
      </w:r>
      <w:r>
        <w:rPr>
          <w:rFonts w:cs="Arial"/>
          <w:sz w:val="22"/>
          <w:szCs w:val="22"/>
          <w:lang w:eastAsia="zh-CN"/>
        </w:rPr>
        <w:t>ZTE</w:t>
      </w:r>
      <w:r>
        <w:rPr>
          <w:rFonts w:cs="Arial"/>
          <w:sz w:val="22"/>
          <w:szCs w:val="22"/>
          <w:lang w:val="en-US" w:eastAsia="zh-CN"/>
        </w:rPr>
        <w:t>, Sanechips</w:t>
      </w:r>
    </w:p>
    <w:p>
      <w:pPr>
        <w:pStyle w:val="20"/>
        <w:tabs>
          <w:tab w:val="left" w:pos="1800"/>
        </w:tabs>
        <w:spacing w:after="60" w:line="240" w:lineRule="auto"/>
        <w:jc w:val="both"/>
        <w:rPr>
          <w:rFonts w:cs="Arial"/>
          <w:sz w:val="22"/>
          <w:szCs w:val="22"/>
          <w:lang w:val="en-US" w:eastAsia="zh-CN"/>
        </w:rPr>
      </w:pPr>
      <w:r>
        <w:rPr>
          <w:rFonts w:cs="Arial"/>
          <w:sz w:val="22"/>
          <w:szCs w:val="22"/>
          <w:lang w:eastAsia="zh-CN"/>
        </w:rPr>
        <w:t>Agenda Item:</w:t>
      </w:r>
      <w:r>
        <w:rPr>
          <w:rFonts w:cs="Arial"/>
          <w:sz w:val="22"/>
          <w:szCs w:val="22"/>
          <w:lang w:eastAsia="zh-CN"/>
        </w:rPr>
        <w:tab/>
      </w:r>
      <w:r>
        <w:rPr>
          <w:rFonts w:hint="eastAsia" w:cs="Arial"/>
          <w:sz w:val="22"/>
          <w:szCs w:val="22"/>
          <w:lang w:val="en-US" w:eastAsia="zh-CN"/>
        </w:rPr>
        <w:t>8.2.5</w:t>
      </w:r>
    </w:p>
    <w:p>
      <w:pPr>
        <w:pStyle w:val="20"/>
        <w:tabs>
          <w:tab w:val="left" w:pos="1800"/>
        </w:tabs>
        <w:spacing w:after="60" w:line="240" w:lineRule="auto"/>
        <w:jc w:val="both"/>
        <w:rPr>
          <w:rFonts w:cs="Arial"/>
          <w:sz w:val="22"/>
          <w:szCs w:val="22"/>
          <w:lang w:eastAsia="zh-CN"/>
        </w:rPr>
      </w:pPr>
      <w:r>
        <w:rPr>
          <w:rFonts w:cs="Arial"/>
          <w:sz w:val="22"/>
          <w:szCs w:val="22"/>
          <w:lang w:eastAsia="zh-CN"/>
        </w:rPr>
        <w:t>Document for:</w:t>
      </w:r>
      <w:r>
        <w:rPr>
          <w:rFonts w:cs="Arial"/>
          <w:sz w:val="22"/>
          <w:szCs w:val="22"/>
          <w:lang w:eastAsia="zh-CN"/>
        </w:rPr>
        <w:tab/>
      </w:r>
      <w:r>
        <w:rPr>
          <w:rFonts w:cs="Arial"/>
          <w:sz w:val="22"/>
          <w:szCs w:val="22"/>
          <w:lang w:eastAsia="zh-CN"/>
        </w:rPr>
        <w:t>Discussion and Decision</w:t>
      </w:r>
    </w:p>
    <w:p>
      <w:pPr>
        <w:pStyle w:val="2"/>
        <w:spacing w:before="120" w:after="120" w:line="240" w:lineRule="auto"/>
        <w:jc w:val="both"/>
        <w:rPr>
          <w:rFonts w:ascii="Times New Roman" w:hAnsi="Times New Roman" w:eastAsia="宋体"/>
          <w:b/>
          <w:sz w:val="32"/>
          <w:szCs w:val="32"/>
          <w:lang w:eastAsia="zh-CN"/>
        </w:rPr>
      </w:pPr>
      <w:r>
        <w:rPr>
          <w:rFonts w:ascii="Times New Roman" w:hAnsi="Times New Roman" w:eastAsia="宋体"/>
          <w:b/>
          <w:sz w:val="32"/>
          <w:szCs w:val="32"/>
          <w:lang w:val="en-US" w:eastAsia="zh-CN"/>
        </w:rPr>
        <w:t xml:space="preserve"> </w:t>
      </w:r>
      <w:r>
        <w:rPr>
          <w:rFonts w:ascii="Times New Roman" w:hAnsi="Times New Roman" w:eastAsia="宋体"/>
          <w:b/>
          <w:sz w:val="32"/>
          <w:szCs w:val="32"/>
          <w:lang w:eastAsia="zh-CN"/>
        </w:rPr>
        <w:t>Introduction</w:t>
      </w:r>
    </w:p>
    <w:p>
      <w:pPr>
        <w:jc w:val="both"/>
        <w:rPr>
          <w:lang w:val="en-US" w:eastAsia="zh-CN"/>
        </w:rPr>
      </w:pPr>
      <w:bookmarkStart w:id="1" w:name="OLE_LINK2"/>
      <w:bookmarkStart w:id="2" w:name="OLE_LINK15"/>
      <w:bookmarkStart w:id="3" w:name="OLE_LINK1"/>
      <w:bookmarkStart w:id="4" w:name="OLE_LINK16"/>
      <w:r>
        <w:rPr>
          <w:rFonts w:hint="eastAsia"/>
          <w:lang w:val="en-US" w:eastAsia="zh-CN"/>
        </w:rPr>
        <w:t>In this contribution, we discuss potential PUSCH/PDSCH enhancement, time line related aspects adapted to each of the new numerologies 480kHz and 960kHz, reference signals, scheduling particularly w.r.t. multi-PDSCH/PUSCH with a single DCI, HARQ, etc.</w:t>
      </w:r>
    </w:p>
    <w:p>
      <w:pPr>
        <w:pStyle w:val="2"/>
        <w:spacing w:before="120" w:after="120" w:line="240" w:lineRule="auto"/>
        <w:jc w:val="both"/>
        <w:rPr>
          <w:rFonts w:eastAsia="宋体"/>
          <w:b/>
          <w:bCs/>
          <w:i/>
          <w:lang w:val="en-US" w:eastAsia="zh-CN"/>
        </w:rPr>
      </w:pPr>
      <w:r>
        <w:rPr>
          <w:rFonts w:hint="eastAsia" w:ascii="Times New Roman" w:hAnsi="Times New Roman" w:eastAsia="宋体"/>
          <w:b/>
          <w:sz w:val="32"/>
          <w:szCs w:val="32"/>
          <w:lang w:val="en-US" w:eastAsia="zh-CN"/>
        </w:rPr>
        <w:t xml:space="preserve"> Discussion </w:t>
      </w:r>
      <w:bookmarkStart w:id="5" w:name="_Toc28873153"/>
    </w:p>
    <w:p>
      <w:pPr>
        <w:pStyle w:val="3"/>
        <w:spacing w:after="240"/>
        <w:jc w:val="both"/>
        <w:rPr>
          <w:rFonts w:eastAsia="宋体" w:cs="Arial"/>
          <w:b/>
          <w:sz w:val="24"/>
          <w:szCs w:val="24"/>
          <w:lang w:val="en-US" w:eastAsia="zh-CN"/>
        </w:rPr>
      </w:pPr>
      <w:r>
        <w:rPr>
          <w:rFonts w:hint="eastAsia" w:eastAsia="宋体" w:cs="Arial"/>
          <w:b/>
          <w:sz w:val="24"/>
          <w:szCs w:val="24"/>
          <w:lang w:val="en-US" w:eastAsia="zh-CN"/>
        </w:rPr>
        <w:t xml:space="preserve">Multi-PDSCH/PUSCH scheduling </w:t>
      </w:r>
    </w:p>
    <w:p>
      <w:pPr>
        <w:pStyle w:val="4"/>
        <w:jc w:val="both"/>
        <w:rPr>
          <w:lang w:val="en-US" w:eastAsia="zh-CN"/>
        </w:rPr>
      </w:pPr>
      <w:r>
        <w:rPr>
          <w:rFonts w:hint="eastAsia"/>
          <w:lang w:val="en-US" w:eastAsia="zh-CN"/>
        </w:rPr>
        <w:t>HARQ process number determination</w:t>
      </w:r>
    </w:p>
    <w:p>
      <w:pPr>
        <w:jc w:val="both"/>
        <w:rPr>
          <w:rFonts w:hint="eastAsia"/>
          <w:lang w:val="en-US" w:eastAsia="zh-CN"/>
        </w:rPr>
      </w:pPr>
      <w:r>
        <w:rPr>
          <w:rFonts w:hint="eastAsia"/>
          <w:lang w:val="en-US" w:eastAsia="zh-CN"/>
        </w:rPr>
        <w:t>In RAN1 #106-e meeting, an agreement was achieved for HARQ process number determination as follows:</w:t>
      </w:r>
    </w:p>
    <w:p>
      <w:pPr>
        <w:rPr>
          <w:rFonts w:hint="eastAsia"/>
          <w:iCs/>
        </w:rPr>
      </w:pPr>
      <w:r>
        <w:rPr>
          <w:iCs/>
          <w:highlight w:val="green"/>
        </w:rPr>
        <w:t>Agreement:</w:t>
      </w:r>
    </w:p>
    <w:p>
      <w:pPr>
        <w:spacing w:line="252" w:lineRule="auto"/>
        <w:jc w:val="both"/>
        <w:rPr>
          <w:rFonts w:ascii="Times New Roman" w:hAnsi="Times New Roman" w:eastAsia="Times New Roman"/>
          <w:szCs w:val="20"/>
          <w:lang w:val="en-US" w:eastAsia="zh-CN"/>
        </w:rPr>
      </w:pPr>
      <w:r>
        <w:rPr>
          <w:rFonts w:eastAsia="Times New Roman"/>
          <w:szCs w:val="20"/>
          <w:lang w:eastAsia="ko-KR"/>
        </w:rPr>
        <w:t xml:space="preserve">If a scheduled PDSCH/PUSCH is dropped due to collision </w:t>
      </w:r>
      <w:r>
        <w:rPr>
          <w:rFonts w:eastAsia="Times New Roman" w:cs="Times"/>
          <w:szCs w:val="20"/>
          <w:lang w:eastAsia="ko-KR"/>
        </w:rPr>
        <w:t xml:space="preserve">with UL/DL symbol(s) indicated by </w:t>
      </w:r>
      <w:r>
        <w:rPr>
          <w:rFonts w:eastAsia="Times New Roman" w:cs="Times"/>
          <w:i/>
          <w:iCs/>
          <w:szCs w:val="20"/>
          <w:lang w:eastAsia="ko-KR"/>
        </w:rPr>
        <w:t>tdd-UL-DL-ConfigurationCommon</w:t>
      </w:r>
      <w:r>
        <w:rPr>
          <w:rFonts w:eastAsia="Times New Roman" w:cs="Times"/>
          <w:szCs w:val="20"/>
          <w:lang w:eastAsia="ko-KR"/>
        </w:rPr>
        <w:t xml:space="preserve"> or </w:t>
      </w:r>
      <w:r>
        <w:rPr>
          <w:rFonts w:eastAsia="Times New Roman" w:cs="Times"/>
          <w:i/>
          <w:iCs/>
          <w:szCs w:val="20"/>
          <w:lang w:eastAsia="ko-KR"/>
        </w:rPr>
        <w:t>tdd-UL-DL-ConfigurationDedicated</w:t>
      </w:r>
      <w:r>
        <w:rPr>
          <w:rFonts w:eastAsia="Times New Roman" w:cs="Times"/>
          <w:szCs w:val="20"/>
          <w:lang w:eastAsia="ko-KR"/>
        </w:rPr>
        <w:t>, HARQ process number increment is skipped for the PDSCH/PUSCH and applied only for valid PDSCH(s)/PUSCH(s).</w:t>
      </w:r>
    </w:p>
    <w:p>
      <w:pPr>
        <w:numPr>
          <w:ilvl w:val="0"/>
          <w:numId w:val="10"/>
        </w:numPr>
        <w:spacing w:line="252" w:lineRule="auto"/>
        <w:jc w:val="both"/>
        <w:rPr>
          <w:rFonts w:eastAsia="Times New Roman"/>
          <w:szCs w:val="20"/>
          <w:lang w:eastAsia="ko-KR"/>
        </w:rPr>
      </w:pPr>
      <w:r>
        <w:rPr>
          <w:rFonts w:eastAsia="Times New Roman" w:cs="Times"/>
          <w:szCs w:val="20"/>
          <w:lang w:eastAsia="ja-JP"/>
        </w:rPr>
        <w:t xml:space="preserve">FFS: HARQ process number determination for the case where a scheduled PDSCH/PUSCH collides with a flexible symbol (indicated by </w:t>
      </w:r>
      <w:r>
        <w:rPr>
          <w:rFonts w:eastAsia="Times New Roman" w:cs="Times"/>
          <w:i/>
          <w:iCs/>
          <w:szCs w:val="20"/>
          <w:lang w:eastAsia="ja-JP"/>
        </w:rPr>
        <w:t>tdd-UL-DL-ConfigurationCommon</w:t>
      </w:r>
      <w:r>
        <w:rPr>
          <w:rFonts w:eastAsia="Times New Roman" w:cs="Times"/>
          <w:szCs w:val="20"/>
          <w:lang w:eastAsia="ja-JP"/>
        </w:rPr>
        <w:t xml:space="preserve"> or </w:t>
      </w:r>
      <w:r>
        <w:rPr>
          <w:rFonts w:eastAsia="Times New Roman" w:cs="Times"/>
          <w:i/>
          <w:iCs/>
          <w:szCs w:val="20"/>
          <w:lang w:eastAsia="ja-JP"/>
        </w:rPr>
        <w:t>tdd-UL-DL-ConfigurationDedicated</w:t>
      </w:r>
      <w:r>
        <w:rPr>
          <w:rFonts w:eastAsia="Times New Roman" w:cs="Times"/>
          <w:szCs w:val="20"/>
          <w:lang w:eastAsia="ja-JP"/>
        </w:rPr>
        <w:t>) if the UE is configured to monitor DCI format 2_0.</w:t>
      </w:r>
    </w:p>
    <w:p>
      <w:pPr>
        <w:jc w:val="both"/>
        <w:rPr>
          <w:rFonts w:hint="default"/>
          <w:lang w:val="en-US" w:eastAsia="zh-CN"/>
        </w:rPr>
      </w:pPr>
      <w:r>
        <w:rPr>
          <w:rFonts w:hint="eastAsia"/>
          <w:lang w:val="en-US" w:eastAsia="zh-CN"/>
        </w:rPr>
        <w:t xml:space="preserve">According to the following regulations in clauses 11.1.1 of TS 38.213 in [1],  </w:t>
      </w:r>
    </w:p>
    <w:tbl>
      <w:tblPr>
        <w:tblStyle w:val="26"/>
        <w:tblW w:w="9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0" w:type="dxa"/>
          </w:tcPr>
          <w:p>
            <w:pPr>
              <w:pStyle w:val="51"/>
              <w:rPr>
                <w:lang w:val="en-US" w:eastAsia="zh-CN"/>
              </w:rPr>
            </w:pPr>
            <w:r>
              <w:rPr>
                <w:lang w:val="en-US"/>
              </w:rPr>
              <w:t>F</w:t>
            </w:r>
            <w:r>
              <w:t xml:space="preserve">or a set of symbols </w:t>
            </w:r>
            <w:r>
              <w:rPr>
                <w:lang w:val="en-US"/>
              </w:rPr>
              <w:t>of</w:t>
            </w:r>
            <w:r>
              <w:t xml:space="preserve"> a slot indicated to a UE as </w:t>
            </w:r>
            <w:r>
              <w:rPr>
                <w:lang w:val="en-US"/>
              </w:rPr>
              <w:t>flexible</w:t>
            </w:r>
            <w:r>
              <w:t xml:space="preserve"> by </w:t>
            </w:r>
            <w:r>
              <w:rPr>
                <w:i/>
              </w:rPr>
              <w:t>tdd-</w:t>
            </w:r>
            <w:r>
              <w:rPr>
                <w:i/>
                <w:lang w:val="en-US"/>
              </w:rPr>
              <w:t>UL-DL-ConfigurationCommon</w:t>
            </w:r>
            <w:r>
              <w:rPr>
                <w:lang w:val="en-US"/>
              </w:rPr>
              <w:t xml:space="preserve"> and </w:t>
            </w:r>
            <w:r>
              <w:rPr>
                <w:i/>
                <w:lang w:val="en-US"/>
              </w:rPr>
              <w:t>tdd-UL-DL-ConfigurationDedicated</w:t>
            </w:r>
            <w:r>
              <w:rPr>
                <w:rFonts w:hint="eastAsia" w:eastAsia="等线"/>
                <w:lang w:val="en-US" w:eastAsia="zh-CN"/>
              </w:rPr>
              <w:t xml:space="preserve"> if provided</w:t>
            </w:r>
            <w:r>
              <w:rPr>
                <w:lang w:val="en-US"/>
              </w:rPr>
              <w:t xml:space="preserve">, or when </w:t>
            </w:r>
            <w:r>
              <w:rPr>
                <w:i/>
                <w:lang w:val="en-US"/>
              </w:rPr>
              <w:t>tdd-UL-DL-ConfigurationCommon</w:t>
            </w:r>
            <w:r>
              <w:rPr>
                <w:lang w:val="en-US"/>
              </w:rPr>
              <w:t xml:space="preserve"> and </w:t>
            </w:r>
            <w:r>
              <w:rPr>
                <w:i/>
                <w:lang w:val="en-US"/>
              </w:rPr>
              <w:t>tdd-UL-DL-ConfigurationDedicated</w:t>
            </w:r>
            <w:r>
              <w:rPr>
                <w:lang w:val="en-US"/>
              </w:rPr>
              <w:t xml:space="preserve"> are not provided to the UE, and if the UE </w:t>
            </w:r>
            <w:r>
              <w:rPr>
                <w:lang w:eastAsia="zh-CN"/>
              </w:rPr>
              <w:t xml:space="preserve">detects </w:t>
            </w:r>
            <w:r>
              <w:rPr>
                <w:lang w:val="en-US" w:eastAsia="zh-CN"/>
              </w:rPr>
              <w:t>a DCI format</w:t>
            </w:r>
            <w:r>
              <w:rPr>
                <w:lang w:eastAsia="zh-CN"/>
              </w:rPr>
              <w:t xml:space="preserve"> </w:t>
            </w:r>
            <w:r>
              <w:rPr>
                <w:lang w:val="en-US" w:eastAsia="zh-CN"/>
              </w:rPr>
              <w:t>2_0 providing a format for the slot using a slot format value other than 255</w:t>
            </w:r>
          </w:p>
          <w:p>
            <w:pPr>
              <w:pStyle w:val="51"/>
              <w:rPr>
                <w:rFonts w:hint="default"/>
                <w:lang w:val="en-US" w:eastAsia="zh-CN"/>
              </w:rPr>
            </w:pPr>
            <w:r>
              <w:rPr>
                <w:rFonts w:hint="eastAsia"/>
                <w:lang w:val="en-US" w:eastAsia="zh-CN"/>
              </w:rPr>
              <w:t>...</w:t>
            </w:r>
          </w:p>
          <w:p>
            <w:pPr>
              <w:pStyle w:val="51"/>
              <w:rPr>
                <w:rFonts w:hint="default" w:eastAsia="宋体"/>
                <w:color w:val="0000FF"/>
                <w:highlight w:val="none"/>
                <w:lang w:val="en-US" w:eastAsia="zh-CN"/>
              </w:rPr>
            </w:pPr>
            <w:r>
              <w:rPr>
                <w:lang w:val="en-US"/>
              </w:rPr>
              <w:t>-</w:t>
            </w:r>
            <w:r>
              <w:rPr>
                <w:lang w:val="en-US"/>
              </w:rPr>
              <w:tab/>
            </w:r>
            <w:r>
              <w:rPr>
                <w:highlight w:val="none"/>
                <w:lang w:val="en-US"/>
              </w:rPr>
              <w:t>if an SFI-index field value in DCI format 2_0 indicates the set of symbols of the slot as flexible and the UE detects a DCI format indicating to the UE to receive PDSCH or CSI-RS in the set of symbols of the slot, the UE receives PDSCH or CSI-RS in the set of symbols of the slot</w:t>
            </w:r>
          </w:p>
          <w:p>
            <w:pPr>
              <w:pStyle w:val="51"/>
              <w:rPr>
                <w:rFonts w:hint="eastAsia"/>
                <w:color w:val="0000FF"/>
                <w:highlight w:val="none"/>
                <w:lang w:val="en-US" w:eastAsia="zh-CN"/>
              </w:rPr>
            </w:pPr>
            <w:r>
              <w:rPr>
                <w:highlight w:val="none"/>
                <w:lang w:val="en-US"/>
              </w:rPr>
              <w:t>-</w:t>
            </w:r>
            <w:r>
              <w:rPr>
                <w:highlight w:val="none"/>
                <w:lang w:val="en-US"/>
              </w:rPr>
              <w:tab/>
            </w:r>
            <w:r>
              <w:rPr>
                <w:highlight w:val="none"/>
                <w:lang w:val="en-US"/>
              </w:rPr>
              <w:t>if an SFI-index field value in DCI format 2_0 indicates the set of symbols of the slot as flexible and the UE detects a DCI format, a RAR UL grant, fallbackRAR UL grant, or successRAR indicating to the UE to transmit PUSCH, PUCCH, PRACH, or SRS in the set of symbols of the slot the UE transmits the PUSCH, PUCCH, PRACH, or SRS in the set of symbols of the slot</w:t>
            </w:r>
            <w:r>
              <w:rPr>
                <w:rFonts w:hint="eastAsia"/>
                <w:color w:val="0000FF"/>
                <w:highlight w:val="none"/>
                <w:lang w:val="en-US" w:eastAsia="zh-CN"/>
              </w:rPr>
              <w:t>.</w:t>
            </w:r>
          </w:p>
          <w:p>
            <w:pPr>
              <w:pStyle w:val="51"/>
              <w:rPr>
                <w:rFonts w:hint="default" w:eastAsia="宋体"/>
                <w:color w:val="0000FF"/>
                <w:highlight w:val="none"/>
                <w:lang w:val="en-US" w:eastAsia="zh-CN"/>
              </w:rPr>
            </w:pPr>
            <w:r>
              <w:rPr>
                <w:rFonts w:hint="eastAsia"/>
                <w:color w:val="0000FF"/>
                <w:highlight w:val="none"/>
                <w:lang w:val="en-US" w:eastAsia="zh-CN"/>
              </w:rPr>
              <w:t>...</w:t>
            </w:r>
          </w:p>
          <w:p>
            <w:pPr>
              <w:pStyle w:val="51"/>
              <w:rPr>
                <w:rFonts w:hint="default" w:eastAsia="宋体"/>
                <w:color w:val="0000FF"/>
                <w:highlight w:val="none"/>
                <w:lang w:val="en-US" w:eastAsia="zh-CN"/>
              </w:rPr>
            </w:pPr>
            <w:r>
              <w:rPr>
                <w:highlight w:val="none"/>
                <w:lang w:val="en-US"/>
              </w:rPr>
              <w:t>-</w:t>
            </w:r>
            <w:r>
              <w:rPr>
                <w:highlight w:val="none"/>
                <w:lang w:val="en-US"/>
              </w:rPr>
              <w:tab/>
            </w:r>
            <w:r>
              <w:rPr>
                <w:highlight w:val="none"/>
                <w:lang w:val="en-US"/>
              </w:rPr>
              <w:t>a</w:t>
            </w:r>
            <w:r>
              <w:rPr>
                <w:highlight w:val="none"/>
              </w:rPr>
              <w:t xml:space="preserve"> UE does not expect to dete</w:t>
            </w:r>
            <w:r>
              <w:rPr>
                <w:highlight w:val="none"/>
                <w:lang w:val="en-US"/>
              </w:rPr>
              <w:t>ct</w:t>
            </w:r>
            <w:r>
              <w:rPr>
                <w:highlight w:val="none"/>
              </w:rPr>
              <w:t xml:space="preserve"> </w:t>
            </w:r>
            <w:r>
              <w:rPr>
                <w:highlight w:val="none"/>
                <w:lang w:val="en-US"/>
              </w:rPr>
              <w:t>an SFI-index field value in DCI format 2_0 indicating the set of symbols of the slot as downlink and also detect a DCI format, a RAR UL grant, fallbackRAR UL grant, or successRAR indicating to the UE to transmit SRS, PUSCH, PUCCH, or PRACH, in one or more symbols from the set of symbols of the slot</w:t>
            </w:r>
          </w:p>
          <w:p>
            <w:pPr>
              <w:pStyle w:val="51"/>
              <w:rPr>
                <w:rFonts w:hint="default"/>
                <w:color w:val="0000FF"/>
                <w:highlight w:val="none"/>
                <w:lang w:val="en-US"/>
              </w:rPr>
            </w:pPr>
            <w:r>
              <w:rPr>
                <w:highlight w:val="none"/>
                <w:lang w:val="en-US"/>
              </w:rPr>
              <w:t>-</w:t>
            </w:r>
            <w:r>
              <w:rPr>
                <w:highlight w:val="none"/>
                <w:lang w:val="en-US"/>
              </w:rPr>
              <w:tab/>
            </w:r>
            <w:r>
              <w:rPr>
                <w:highlight w:val="none"/>
                <w:lang w:val="en-US"/>
              </w:rPr>
              <w:t>a</w:t>
            </w:r>
            <w:r>
              <w:rPr>
                <w:highlight w:val="none"/>
              </w:rPr>
              <w:t xml:space="preserve"> UE does not expect to dete</w:t>
            </w:r>
            <w:r>
              <w:rPr>
                <w:highlight w:val="none"/>
                <w:lang w:val="en-US"/>
              </w:rPr>
              <w:t>ct</w:t>
            </w:r>
            <w:r>
              <w:rPr>
                <w:highlight w:val="none"/>
              </w:rPr>
              <w:t xml:space="preserve"> </w:t>
            </w:r>
            <w:r>
              <w:rPr>
                <w:highlight w:val="none"/>
                <w:lang w:val="en-US"/>
              </w:rPr>
              <w:t xml:space="preserve">an SFI-index field value in DCI format 2_0 indicating the set of symbols of the slot as downlink or flexible if the set of symbols of the slot includes symbols corresponding to any repetition of a PUSCH transmission activated by an </w:t>
            </w:r>
            <w:r>
              <w:rPr>
                <w:rFonts w:eastAsia="等线"/>
                <w:highlight w:val="none"/>
                <w:lang w:eastAsia="zh-CN"/>
              </w:rPr>
              <w:t>UL Type 2 grant PDCCH</w:t>
            </w:r>
            <w:r>
              <w:rPr>
                <w:rFonts w:eastAsia="等线"/>
                <w:highlight w:val="none"/>
                <w:lang w:val="en-US" w:eastAsia="zh-CN"/>
              </w:rPr>
              <w:t xml:space="preserve"> as described in Clause 10.2</w:t>
            </w:r>
          </w:p>
          <w:p>
            <w:pPr>
              <w:pStyle w:val="51"/>
              <w:rPr>
                <w:rFonts w:hint="eastAsia"/>
                <w:vertAlign w:val="baseline"/>
                <w:lang w:val="en-US" w:eastAsia="zh-CN"/>
              </w:rPr>
            </w:pPr>
            <w:r>
              <w:rPr>
                <w:highlight w:val="none"/>
                <w:lang w:val="en-US"/>
              </w:rPr>
              <w:t>-</w:t>
            </w:r>
            <w:r>
              <w:rPr>
                <w:highlight w:val="none"/>
                <w:lang w:val="en-US"/>
              </w:rPr>
              <w:tab/>
            </w:r>
            <w:r>
              <w:rPr>
                <w:highlight w:val="none"/>
                <w:lang w:val="en-US"/>
              </w:rPr>
              <w:t>a</w:t>
            </w:r>
            <w:r>
              <w:rPr>
                <w:highlight w:val="none"/>
              </w:rPr>
              <w:t xml:space="preserve"> UE does not expect to </w:t>
            </w:r>
            <w:r>
              <w:rPr>
                <w:highlight w:val="none"/>
                <w:lang w:val="en-US"/>
              </w:rPr>
              <w:t>detect</w:t>
            </w:r>
            <w:r>
              <w:rPr>
                <w:highlight w:val="none"/>
              </w:rPr>
              <w:t xml:space="preserve"> </w:t>
            </w:r>
            <w:r>
              <w:rPr>
                <w:highlight w:val="none"/>
                <w:lang w:val="en-US"/>
              </w:rPr>
              <w:t>an SFI-index field value in</w:t>
            </w:r>
            <w:r>
              <w:rPr>
                <w:highlight w:val="none"/>
              </w:rPr>
              <w:t xml:space="preserve"> </w:t>
            </w:r>
            <w:r>
              <w:rPr>
                <w:highlight w:val="none"/>
                <w:lang w:val="en-US"/>
              </w:rPr>
              <w:t>DCI format 2_0 indicating the set of symbols of the slot as uplink and also detect a DCI format indicating to the UE to receive PDSCH or CSI-RS in one or more symbols from the set of symbols of the slot</w:t>
            </w:r>
          </w:p>
        </w:tc>
      </w:tr>
    </w:tbl>
    <w:p>
      <w:pPr>
        <w:jc w:val="both"/>
        <w:rPr>
          <w:rFonts w:hint="eastAsia"/>
          <w:lang w:val="en-US" w:eastAsia="zh-CN"/>
        </w:rPr>
      </w:pPr>
    </w:p>
    <w:p>
      <w:pPr>
        <w:jc w:val="both"/>
        <w:rPr>
          <w:rFonts w:hint="eastAsia"/>
          <w:lang w:val="en-US" w:eastAsia="zh-CN"/>
        </w:rPr>
      </w:pPr>
      <w:r>
        <w:rPr>
          <w:rFonts w:hint="eastAsia"/>
          <w:lang w:val="en-US" w:eastAsia="zh-CN"/>
        </w:rPr>
        <w:t xml:space="preserve">A UE should receive/transmit a PDSCH/PUSCH that scheduled by a DCI format when the PDSCH/PUSCH is indicated to receive/transmit in a set of symbols of the slot as flexible by semi-static TDD configuration and/or an SFI-index field value in DCI format 2_0. Meanwhile, A UE does not expect to detect an SFI-index field value in DCI format 2_0 indicating the set of symbols of the slot as flexible by semi-static TDD configuration, as uplink/downlink if UE detects a DCI format indicating to receive/transmit PDSCH/PUSCH in the set of symbols of the slot. Therefore, for the case where a scheduled PDSCH/PUSCH collides with a flexible symbol (indicated by </w:t>
      </w:r>
      <w:r>
        <w:rPr>
          <w:rFonts w:hint="eastAsia"/>
          <w:i/>
          <w:iCs/>
          <w:lang w:val="en-US" w:eastAsia="zh-CN"/>
        </w:rPr>
        <w:t>tdd-UL-DL-ConfigurationCommon</w:t>
      </w:r>
      <w:r>
        <w:rPr>
          <w:rFonts w:hint="eastAsia"/>
          <w:lang w:val="en-US" w:eastAsia="zh-CN"/>
        </w:rPr>
        <w:t xml:space="preserve"> or </w:t>
      </w:r>
      <w:r>
        <w:rPr>
          <w:rFonts w:hint="eastAsia"/>
          <w:i/>
          <w:iCs/>
          <w:lang w:val="en-US" w:eastAsia="zh-CN"/>
        </w:rPr>
        <w:t>tdd-UL-DL-ConfigurationDedicated</w:t>
      </w:r>
      <w:r>
        <w:rPr>
          <w:rFonts w:hint="eastAsia"/>
          <w:lang w:val="en-US" w:eastAsia="zh-CN"/>
        </w:rPr>
        <w:t xml:space="preserve">), the UE should receive/transmit the PDSCH/PUSCH and HARQ process number increment should not be skipped for the PDSCH/PUSCH which collides with a flexible symbol (indicated by </w:t>
      </w:r>
      <w:r>
        <w:rPr>
          <w:rFonts w:hint="eastAsia"/>
          <w:i/>
          <w:iCs/>
          <w:lang w:val="en-US" w:eastAsia="zh-CN"/>
        </w:rPr>
        <w:t>tdd-UL-DL-ConfigurationCommon</w:t>
      </w:r>
      <w:r>
        <w:rPr>
          <w:rFonts w:hint="eastAsia"/>
          <w:lang w:val="en-US" w:eastAsia="zh-CN"/>
        </w:rPr>
        <w:t xml:space="preserve"> or </w:t>
      </w:r>
      <w:r>
        <w:rPr>
          <w:rFonts w:hint="eastAsia"/>
          <w:i/>
          <w:iCs/>
          <w:lang w:val="en-US" w:eastAsia="zh-CN"/>
        </w:rPr>
        <w:t>tdd-UL-DL-ConfigurationDedicated</w:t>
      </w:r>
      <w:r>
        <w:rPr>
          <w:rFonts w:hint="eastAsia"/>
          <w:lang w:val="en-US" w:eastAsia="zh-CN"/>
        </w:rPr>
        <w:t>) even if the UE is configured to monitor DCI format 2_0.</w:t>
      </w:r>
    </w:p>
    <w:p>
      <w:pPr>
        <w:jc w:val="both"/>
        <w:rPr>
          <w:rFonts w:eastAsia="宋体"/>
          <w:b/>
          <w:bCs/>
          <w:iCs/>
          <w:lang w:val="en-US" w:eastAsia="zh-CN"/>
        </w:rPr>
      </w:pPr>
      <w:r>
        <w:rPr>
          <w:rFonts w:hint="eastAsia"/>
          <w:b/>
          <w:bCs/>
          <w:i w:val="0"/>
          <w:iCs w:val="0"/>
          <w:lang w:val="en-US" w:eastAsia="zh-CN"/>
        </w:rPr>
        <w:t>Proposal 1: HARQ process number increment should not be skipped for the PDSCH/PUSCH which collides with a flexible symbol (indicated by tdd-UL-DL-ConfigurationCommon or tdd-UL-DL-ConfigurationDedicated) even if the UE is configured to monitor DCI format 2_0.</w:t>
      </w:r>
      <w:r>
        <w:rPr>
          <w:rFonts w:hint="eastAsia"/>
          <w:b/>
          <w:bCs/>
          <w:lang w:val="en-US" w:eastAsia="zh-CN"/>
        </w:rPr>
        <w:t xml:space="preserve"> </w:t>
      </w:r>
    </w:p>
    <w:p>
      <w:pPr>
        <w:pStyle w:val="4"/>
        <w:jc w:val="both"/>
        <w:rPr>
          <w:rFonts w:ascii="Times New Roman" w:hAnsi="Times New Roman" w:eastAsia="宋体" w:cs="Times New Roman"/>
          <w:lang w:val="en-US" w:eastAsia="zh-CN"/>
        </w:rPr>
      </w:pPr>
      <w:r>
        <w:rPr>
          <w:rFonts w:hint="eastAsia" w:eastAsia="宋体" w:cs="Times New Roman"/>
          <w:lang w:val="en-US" w:eastAsia="zh-CN"/>
        </w:rPr>
        <w:t>Two codeword transmission</w:t>
      </w:r>
    </w:p>
    <w:p>
      <w:pPr>
        <w:jc w:val="both"/>
        <w:rPr>
          <w:rFonts w:hint="eastAsia" w:eastAsia="宋体"/>
          <w:strike w:val="0"/>
          <w:lang w:val="en-US" w:eastAsia="zh-CN"/>
        </w:rPr>
      </w:pPr>
      <w:r>
        <w:rPr>
          <w:rFonts w:hint="eastAsia" w:eastAsia="宋体"/>
          <w:strike w:val="0"/>
          <w:lang w:val="en-US" w:eastAsia="zh-CN"/>
        </w:rPr>
        <w:t>In RAN1 #106-e, a working assumption was achieved for two codeword transmission as follows:</w:t>
      </w:r>
    </w:p>
    <w:p>
      <w:pPr>
        <w:rPr>
          <w:iCs/>
        </w:rPr>
      </w:pPr>
      <w:r>
        <w:rPr>
          <w:iCs/>
          <w:highlight w:val="darkYellow"/>
        </w:rPr>
        <w:t>Working assumption:</w:t>
      </w:r>
    </w:p>
    <w:p>
      <w:pPr>
        <w:pStyle w:val="132"/>
        <w:spacing w:after="160" w:line="256" w:lineRule="auto"/>
        <w:ind w:left="0" w:leftChars="0"/>
        <w:contextualSpacing/>
        <w:jc w:val="both"/>
        <w:rPr>
          <w:rFonts w:ascii="Times New Roman" w:hAnsi="Times New Roman" w:eastAsia="Malgun Gothic"/>
          <w:lang w:val="en-US"/>
        </w:rPr>
      </w:pPr>
      <w:r>
        <w:rPr>
          <w:rFonts w:hint="eastAsia" w:ascii="Times New Roman" w:hAnsi="Times New Roman" w:eastAsia="Malgun Gothic"/>
          <w:lang w:val="en-US" w:eastAsia="ko-KR"/>
        </w:rPr>
        <w:t>For NR FR2-2, two codeword transmission is supported, subject to UE capability.</w:t>
      </w:r>
    </w:p>
    <w:p>
      <w:pPr>
        <w:pStyle w:val="132"/>
        <w:numPr>
          <w:ilvl w:val="0"/>
          <w:numId w:val="10"/>
        </w:numPr>
        <w:spacing w:after="160" w:line="256" w:lineRule="auto"/>
        <w:ind w:leftChars="0"/>
        <w:contextualSpacing/>
        <w:jc w:val="both"/>
        <w:rPr>
          <w:rFonts w:ascii="Times New Roman" w:hAnsi="Times New Roman" w:eastAsia="Malgun Gothic"/>
          <w:lang w:val="en-US"/>
        </w:rPr>
      </w:pPr>
      <w:r>
        <w:rPr>
          <w:rFonts w:ascii="Times New Roman" w:hAnsi="Times New Roman" w:eastAsia="Malgun Gothic"/>
          <w:lang w:val="en-US"/>
        </w:rPr>
        <w:t>RRC parameter configures whether two codeword transmission is enabled or disabled.</w:t>
      </w:r>
    </w:p>
    <w:p>
      <w:pPr>
        <w:pStyle w:val="132"/>
        <w:numPr>
          <w:ilvl w:val="1"/>
          <w:numId w:val="10"/>
        </w:numPr>
        <w:spacing w:after="160" w:line="256" w:lineRule="auto"/>
        <w:ind w:leftChars="0"/>
        <w:contextualSpacing/>
        <w:jc w:val="both"/>
        <w:rPr>
          <w:rFonts w:ascii="Times New Roman" w:hAnsi="Times New Roman" w:eastAsia="Malgun Gothic"/>
          <w:lang w:val="en-US"/>
        </w:rPr>
      </w:pPr>
      <w:r>
        <w:rPr>
          <w:rFonts w:ascii="Times New Roman" w:hAnsi="Times New Roman" w:eastAsia="Malgun Gothic"/>
          <w:lang w:val="en-US"/>
        </w:rPr>
        <w:t>FFS: Details on signaling of MCS/NDI/RV for the second TB in a DCI that can schedule multiple PDSCHs when two codeword transmission is enabled</w:t>
      </w:r>
    </w:p>
    <w:p>
      <w:pPr>
        <w:pStyle w:val="132"/>
        <w:numPr>
          <w:ilvl w:val="1"/>
          <w:numId w:val="10"/>
        </w:numPr>
        <w:spacing w:after="160" w:line="256" w:lineRule="auto"/>
        <w:ind w:leftChars="0"/>
        <w:contextualSpacing/>
        <w:jc w:val="both"/>
        <w:rPr>
          <w:rFonts w:hint="eastAsia"/>
          <w:lang w:val="en-US" w:eastAsia="zh-CN"/>
        </w:rPr>
      </w:pPr>
      <w:r>
        <w:rPr>
          <w:rFonts w:ascii="Times New Roman" w:hAnsi="Times New Roman" w:eastAsia="Malgun Gothic"/>
          <w:lang w:val="en-US"/>
        </w:rPr>
        <w:t>FFS: Whether unified or separate parameter to enable/disable 2-TB for single and for multiple PDSCH scheduling</w:t>
      </w:r>
    </w:p>
    <w:p>
      <w:pPr>
        <w:pStyle w:val="132"/>
        <w:numPr>
          <w:ilvl w:val="1"/>
          <w:numId w:val="10"/>
        </w:numPr>
        <w:spacing w:after="160" w:line="256" w:lineRule="auto"/>
        <w:ind w:leftChars="0"/>
        <w:contextualSpacing/>
        <w:jc w:val="both"/>
        <w:rPr>
          <w:rFonts w:hint="eastAsia"/>
          <w:lang w:val="en-US" w:eastAsia="zh-CN"/>
        </w:rPr>
      </w:pPr>
      <w:r>
        <w:rPr>
          <w:rFonts w:ascii="Times New Roman" w:hAnsi="Times New Roman" w:eastAsia="Malgun Gothic"/>
          <w:lang w:val="en-US"/>
        </w:rPr>
        <w:t>Strive to minimize the increase in the number of bits in the DCI needed to support this feature</w:t>
      </w:r>
    </w:p>
    <w:p>
      <w:pPr>
        <w:jc w:val="both"/>
        <w:rPr>
          <w:rFonts w:hint="eastAsia" w:eastAsia="宋体"/>
          <w:strike w:val="0"/>
          <w:lang w:val="en-US" w:eastAsia="zh-CN"/>
        </w:rPr>
      </w:pPr>
      <w:r>
        <w:rPr>
          <w:rFonts w:hint="eastAsia" w:eastAsia="宋体"/>
          <w:strike w:val="0"/>
          <w:lang w:val="en-US" w:eastAsia="zh-CN"/>
        </w:rPr>
        <w:t>For the second TB, signaling of MCS/NDI/RV in a DCI that can schedule multiple PDSCHs when two codeword transmission is enabled can reuse the signaling of MCS/NDI/RV for the first TB as follows:</w:t>
      </w:r>
    </w:p>
    <w:p>
      <w:pPr>
        <w:pStyle w:val="132"/>
        <w:numPr>
          <w:ilvl w:val="0"/>
          <w:numId w:val="10"/>
        </w:numPr>
        <w:spacing w:after="160" w:line="256" w:lineRule="auto"/>
        <w:ind w:leftChars="0"/>
        <w:contextualSpacing/>
        <w:jc w:val="both"/>
        <w:rPr>
          <w:rFonts w:ascii="Times New Roman" w:hAnsi="Times New Roman" w:eastAsia="Malgun Gothic"/>
          <w:lang w:val="en-US"/>
        </w:rPr>
      </w:pPr>
      <w:r>
        <w:rPr>
          <w:rFonts w:ascii="Times New Roman" w:hAnsi="Times New Roman" w:eastAsia="Malgun Gothic"/>
          <w:lang w:val="en-US" w:eastAsia="ko-KR"/>
        </w:rPr>
        <w:t xml:space="preserve">MCS for the </w:t>
      </w:r>
      <w:r>
        <w:rPr>
          <w:rFonts w:hint="eastAsia" w:ascii="Times New Roman" w:hAnsi="Times New Roman" w:eastAsia="宋体"/>
          <w:lang w:val="en-US" w:eastAsia="zh-CN"/>
        </w:rPr>
        <w:t>2</w:t>
      </w:r>
      <w:r>
        <w:rPr>
          <w:rFonts w:hint="eastAsia" w:ascii="Times New Roman" w:hAnsi="Times New Roman" w:eastAsia="宋体"/>
          <w:vertAlign w:val="superscript"/>
          <w:lang w:val="en-US" w:eastAsia="zh-CN"/>
        </w:rPr>
        <w:t>nd</w:t>
      </w:r>
      <w:r>
        <w:rPr>
          <w:rFonts w:ascii="Times New Roman" w:hAnsi="Times New Roman" w:eastAsia="Malgun Gothic"/>
          <w:lang w:val="en-US" w:eastAsia="ko-KR"/>
        </w:rPr>
        <w:t xml:space="preserve"> TB: This appears only once in the DCI and applies commonly to the </w:t>
      </w:r>
      <w:r>
        <w:rPr>
          <w:rFonts w:hint="eastAsia" w:ascii="Times New Roman" w:hAnsi="Times New Roman" w:eastAsia="宋体"/>
          <w:lang w:val="en-US" w:eastAsia="zh-CN"/>
        </w:rPr>
        <w:t>second</w:t>
      </w:r>
      <w:r>
        <w:rPr>
          <w:rFonts w:ascii="Times New Roman" w:hAnsi="Times New Roman" w:eastAsia="Malgun Gothic"/>
          <w:lang w:val="en-US" w:eastAsia="ko-KR"/>
        </w:rPr>
        <w:t xml:space="preserve"> TB of each PDSCH</w:t>
      </w:r>
    </w:p>
    <w:p>
      <w:pPr>
        <w:pStyle w:val="132"/>
        <w:numPr>
          <w:ilvl w:val="0"/>
          <w:numId w:val="10"/>
        </w:numPr>
        <w:spacing w:after="160" w:line="256" w:lineRule="auto"/>
        <w:ind w:leftChars="0"/>
        <w:contextualSpacing/>
        <w:jc w:val="both"/>
        <w:rPr>
          <w:rFonts w:ascii="Times New Roman" w:hAnsi="Times New Roman" w:eastAsia="Malgun Gothic"/>
          <w:lang w:val="en-US"/>
        </w:rPr>
      </w:pPr>
      <w:r>
        <w:rPr>
          <w:rFonts w:ascii="Times New Roman" w:hAnsi="Times New Roman" w:eastAsia="Malgun Gothic"/>
          <w:lang w:val="en-US" w:eastAsia="ko-KR"/>
        </w:rPr>
        <w:t xml:space="preserve">NDI for the </w:t>
      </w:r>
      <w:r>
        <w:rPr>
          <w:rFonts w:hint="eastAsia" w:ascii="Times New Roman" w:hAnsi="Times New Roman" w:eastAsia="宋体"/>
          <w:lang w:val="en-US" w:eastAsia="zh-CN"/>
        </w:rPr>
        <w:t>2</w:t>
      </w:r>
      <w:r>
        <w:rPr>
          <w:rFonts w:hint="eastAsia" w:ascii="Times New Roman" w:hAnsi="Times New Roman" w:eastAsia="宋体"/>
          <w:vertAlign w:val="superscript"/>
          <w:lang w:val="en-US" w:eastAsia="zh-CN"/>
        </w:rPr>
        <w:t>nd</w:t>
      </w:r>
      <w:r>
        <w:rPr>
          <w:rFonts w:ascii="Times New Roman" w:hAnsi="Times New Roman" w:eastAsia="Malgun Gothic"/>
          <w:lang w:val="en-US" w:eastAsia="ko-KR"/>
        </w:rPr>
        <w:t xml:space="preserve"> TB: This is signaled per PDSCH and applies to the </w:t>
      </w:r>
      <w:r>
        <w:rPr>
          <w:rFonts w:hint="eastAsia" w:ascii="Times New Roman" w:hAnsi="Times New Roman" w:eastAsia="宋体"/>
          <w:lang w:val="en-US" w:eastAsia="zh-CN"/>
        </w:rPr>
        <w:t xml:space="preserve">second </w:t>
      </w:r>
      <w:r>
        <w:rPr>
          <w:rFonts w:ascii="Times New Roman" w:hAnsi="Times New Roman" w:eastAsia="Malgun Gothic"/>
          <w:lang w:val="en-US" w:eastAsia="ko-KR"/>
        </w:rPr>
        <w:t>TB of each PDSCH</w:t>
      </w:r>
    </w:p>
    <w:p>
      <w:pPr>
        <w:pStyle w:val="132"/>
        <w:numPr>
          <w:ilvl w:val="0"/>
          <w:numId w:val="10"/>
        </w:numPr>
        <w:spacing w:after="160" w:line="256" w:lineRule="auto"/>
        <w:ind w:leftChars="0"/>
        <w:contextualSpacing/>
        <w:jc w:val="both"/>
        <w:rPr>
          <w:rFonts w:ascii="Times New Roman" w:hAnsi="Times New Roman" w:eastAsia="Malgun Gothic"/>
          <w:lang w:val="en-US"/>
        </w:rPr>
      </w:pPr>
      <w:r>
        <w:rPr>
          <w:rFonts w:ascii="Times New Roman" w:hAnsi="Times New Roman" w:eastAsia="Malgun Gothic"/>
          <w:lang w:val="en-US" w:eastAsia="ko-KR"/>
        </w:rPr>
        <w:t xml:space="preserve">RV for the </w:t>
      </w:r>
      <w:r>
        <w:rPr>
          <w:rFonts w:hint="eastAsia" w:ascii="Times New Roman" w:hAnsi="Times New Roman" w:eastAsia="宋体"/>
          <w:lang w:val="en-US" w:eastAsia="zh-CN"/>
        </w:rPr>
        <w:t>2</w:t>
      </w:r>
      <w:r>
        <w:rPr>
          <w:rFonts w:hint="eastAsia" w:ascii="Times New Roman" w:hAnsi="Times New Roman" w:eastAsia="宋体"/>
          <w:vertAlign w:val="superscript"/>
          <w:lang w:val="en-US" w:eastAsia="zh-CN"/>
        </w:rPr>
        <w:t>nd</w:t>
      </w:r>
      <w:r>
        <w:rPr>
          <w:rFonts w:ascii="Times New Roman" w:hAnsi="Times New Roman" w:eastAsia="Malgun Gothic"/>
          <w:lang w:val="en-US" w:eastAsia="ko-KR"/>
        </w:rPr>
        <w:t xml:space="preserve"> TB: This is signaled per PDSCH, with 2 bits if only a single PDSCH is scheduled or 1 bit for each PDSCH otherwise and applies to the </w:t>
      </w:r>
      <w:r>
        <w:rPr>
          <w:rFonts w:hint="eastAsia" w:ascii="Times New Roman" w:hAnsi="Times New Roman" w:eastAsia="宋体"/>
          <w:lang w:val="en-US" w:eastAsia="zh-CN"/>
        </w:rPr>
        <w:t>second</w:t>
      </w:r>
      <w:r>
        <w:rPr>
          <w:rFonts w:ascii="Times New Roman" w:hAnsi="Times New Roman" w:eastAsia="Malgun Gothic"/>
          <w:lang w:val="en-US" w:eastAsia="ko-KR"/>
        </w:rPr>
        <w:t xml:space="preserve"> TB of each PDSCH</w:t>
      </w:r>
    </w:p>
    <w:p>
      <w:pPr>
        <w:jc w:val="both"/>
        <w:rPr>
          <w:rFonts w:hint="eastAsia" w:ascii="Times New Roman" w:hAnsi="Times New Roman" w:eastAsia="宋体"/>
          <w:lang w:val="en-US" w:eastAsia="zh-CN"/>
        </w:rPr>
      </w:pPr>
      <w:r>
        <w:rPr>
          <w:rFonts w:hint="eastAsia" w:eastAsia="宋体"/>
          <w:strike w:val="0"/>
          <w:lang w:val="en-US" w:eastAsia="zh-CN"/>
        </w:rPr>
        <w:t xml:space="preserve">This scheme is very flexible but it is at the cost of increasing DCI signalling overhead. The main motivation to introduce 2-TB transmission it to pursue peak throughput and competitiveness of NR operating beyond 52.6 GHz, it has also been agreed to minimize the increase in the number of bits in the DCI, therefore it is recommended that </w:t>
      </w:r>
      <w:r>
        <w:rPr>
          <w:rFonts w:ascii="Times New Roman" w:hAnsi="Times New Roman" w:eastAsia="Malgun Gothic"/>
          <w:lang w:val="en-US"/>
        </w:rPr>
        <w:t xml:space="preserve">signaling of MCS/NDI/RV for the second TB </w:t>
      </w:r>
      <w:r>
        <w:rPr>
          <w:rFonts w:hint="eastAsia" w:ascii="Times New Roman" w:hAnsi="Times New Roman" w:eastAsia="宋体"/>
          <w:lang w:val="en-US" w:eastAsia="zh-CN"/>
        </w:rPr>
        <w:t>can reuse the signaling of MCS/NDI/RV for the first TB and no further DCI overhead is introduced. Maybe one or two signaling of MCS, NDI and RV can be signal</w:t>
      </w:r>
      <w:r>
        <w:rPr>
          <w:rFonts w:hint="eastAsia" w:eastAsia="宋体"/>
          <w:lang w:val="en-US" w:eastAsia="zh-CN"/>
        </w:rPr>
        <w:t>ed</w:t>
      </w:r>
      <w:r>
        <w:rPr>
          <w:rFonts w:hint="eastAsia" w:ascii="Times New Roman" w:hAnsi="Times New Roman" w:eastAsia="宋体"/>
          <w:lang w:val="en-US" w:eastAsia="zh-CN"/>
        </w:rPr>
        <w:t xml:space="preserve"> for the second TB and the other signaling can reuse the signaling for the first TB. For example, only NDI is signaled for the second TB and MCS/RV is reused for the first TB.</w:t>
      </w:r>
    </w:p>
    <w:p>
      <w:pPr>
        <w:jc w:val="both"/>
        <w:rPr>
          <w:rFonts w:hint="default" w:ascii="Times New Roman" w:hAnsi="Times New Roman" w:eastAsia="宋体"/>
          <w:b/>
          <w:bCs/>
          <w:lang w:val="en-US" w:eastAsia="zh-CN"/>
        </w:rPr>
      </w:pPr>
      <w:r>
        <w:rPr>
          <w:rFonts w:hint="eastAsia" w:ascii="Times New Roman" w:hAnsi="Times New Roman" w:eastAsia="宋体"/>
          <w:b/>
          <w:bCs/>
          <w:lang w:val="en-US" w:eastAsia="zh-CN"/>
        </w:rPr>
        <w:t xml:space="preserve">Proposal 2: </w:t>
      </w:r>
      <w:r>
        <w:rPr>
          <w:rFonts w:hint="eastAsia" w:eastAsia="宋体"/>
          <w:b/>
          <w:bCs/>
          <w:strike w:val="0"/>
          <w:lang w:val="en-US" w:eastAsia="zh-CN"/>
        </w:rPr>
        <w:t>To minimize the increase in the number of bits in the DCI, s</w:t>
      </w:r>
      <w:r>
        <w:rPr>
          <w:rFonts w:ascii="Times New Roman" w:hAnsi="Times New Roman" w:eastAsia="Malgun Gothic"/>
          <w:b/>
          <w:bCs/>
          <w:lang w:val="en-US"/>
        </w:rPr>
        <w:t xml:space="preserve">ignaling of MCS/NDI/RV for the second TB </w:t>
      </w:r>
      <w:r>
        <w:rPr>
          <w:rFonts w:hint="eastAsia" w:ascii="Times New Roman" w:hAnsi="Times New Roman" w:eastAsia="宋体"/>
          <w:b/>
          <w:bCs/>
          <w:lang w:val="en-US" w:eastAsia="zh-CN"/>
        </w:rPr>
        <w:t xml:space="preserve">can reuse the signaling of MCS/NDI/RV for the first TB in a DCI </w:t>
      </w:r>
      <w:r>
        <w:rPr>
          <w:rFonts w:ascii="Times New Roman" w:hAnsi="Times New Roman" w:eastAsia="Malgun Gothic"/>
          <w:b/>
          <w:bCs/>
          <w:lang w:val="en-US"/>
        </w:rPr>
        <w:t>that can schedule multiple PDSCHs when two codeword transmission is enabled</w:t>
      </w:r>
      <w:r>
        <w:rPr>
          <w:rFonts w:hint="eastAsia" w:ascii="Times New Roman" w:hAnsi="Times New Roman" w:eastAsia="宋体"/>
          <w:b/>
          <w:bCs/>
          <w:lang w:val="en-US" w:eastAsia="zh-CN"/>
        </w:rPr>
        <w:t>.</w:t>
      </w:r>
      <w:r>
        <w:rPr>
          <w:rFonts w:hint="eastAsia" w:ascii="Times New Roman" w:hAnsi="Times New Roman" w:eastAsia="宋体"/>
          <w:lang w:val="en-US" w:eastAsia="zh-CN"/>
        </w:rPr>
        <w:t xml:space="preserve"> </w:t>
      </w:r>
    </w:p>
    <w:p>
      <w:pPr>
        <w:pStyle w:val="3"/>
        <w:spacing w:after="240"/>
        <w:jc w:val="both"/>
        <w:rPr>
          <w:rFonts w:eastAsia="宋体" w:cs="Arial"/>
          <w:b/>
          <w:sz w:val="24"/>
          <w:szCs w:val="24"/>
          <w:lang w:val="en-US" w:eastAsia="zh-CN"/>
        </w:rPr>
      </w:pPr>
      <w:r>
        <w:rPr>
          <w:rFonts w:hint="eastAsia" w:eastAsia="宋体" w:cs="Arial"/>
          <w:b/>
          <w:sz w:val="24"/>
          <w:szCs w:val="24"/>
          <w:lang w:val="en-US" w:eastAsia="zh-CN"/>
        </w:rPr>
        <w:t>HARQ-ACK codebook</w:t>
      </w:r>
    </w:p>
    <w:p>
      <w:pPr>
        <w:pStyle w:val="4"/>
        <w:rPr>
          <w:lang w:val="en-US" w:eastAsia="zh-CN"/>
        </w:rPr>
      </w:pPr>
      <w:r>
        <w:rPr>
          <w:rFonts w:hint="eastAsia"/>
          <w:lang w:val="en-US" w:eastAsia="zh-CN"/>
        </w:rPr>
        <w:t>Type 1 HARQ-ACK codebook enhancement</w:t>
      </w:r>
    </w:p>
    <w:p>
      <w:pPr>
        <w:rPr>
          <w:iCs/>
          <w:highlight w:val="green"/>
        </w:rPr>
      </w:pPr>
      <w:r>
        <w:rPr>
          <w:rFonts w:hint="eastAsia"/>
          <w:lang w:val="en-US" w:eastAsia="zh-CN"/>
        </w:rPr>
        <w:t>In RAN1 #106-e, the following agreement was achieved for type 1 HARQ-ACK codebook:</w:t>
      </w:r>
    </w:p>
    <w:p>
      <w:pPr>
        <w:rPr>
          <w:iCs/>
        </w:rPr>
      </w:pPr>
      <w:r>
        <w:rPr>
          <w:iCs/>
          <w:highlight w:val="green"/>
        </w:rPr>
        <w:t>Agreement</w:t>
      </w:r>
      <w:r>
        <w:rPr>
          <w:rFonts w:hint="eastAsia" w:eastAsia="宋体"/>
          <w:iCs/>
          <w:highlight w:val="green"/>
          <w:lang w:val="en-US" w:eastAsia="zh-CN"/>
        </w:rPr>
        <w:t xml:space="preserve"> in </w:t>
      </w:r>
      <w:r>
        <w:rPr>
          <w:iCs/>
          <w:highlight w:val="green"/>
        </w:rPr>
        <w:t>RAN1#10</w:t>
      </w:r>
      <w:r>
        <w:rPr>
          <w:rFonts w:hint="eastAsia"/>
          <w:iCs/>
          <w:highlight w:val="green"/>
          <w:lang w:val="en-US" w:eastAsia="zh-CN"/>
        </w:rPr>
        <w:t>6</w:t>
      </w:r>
      <w:r>
        <w:rPr>
          <w:iCs/>
          <w:highlight w:val="green"/>
        </w:rPr>
        <w:t>-e:</w:t>
      </w:r>
    </w:p>
    <w:p>
      <w:pPr>
        <w:pStyle w:val="132"/>
        <w:numPr>
          <w:ilvl w:val="0"/>
          <w:numId w:val="10"/>
        </w:numPr>
        <w:spacing w:after="160" w:line="256" w:lineRule="auto"/>
        <w:ind w:leftChars="0"/>
        <w:contextualSpacing/>
        <w:jc w:val="both"/>
        <w:rPr>
          <w:rFonts w:ascii="Times New Roman" w:hAnsi="Times New Roman" w:eastAsia="Malgun Gothic"/>
          <w:lang w:val="en-US"/>
        </w:rPr>
      </w:pPr>
      <w:r>
        <w:rPr>
          <w:rFonts w:ascii="Times New Roman" w:hAnsi="Times New Roman" w:eastAsia="Malgun Gothic"/>
          <w:lang w:val="en-US" w:eastAsia="ko-KR"/>
        </w:rPr>
        <w:t>For single TRP operation, for 480/960 kHz SCS,</w:t>
      </w:r>
    </w:p>
    <w:p>
      <w:pPr>
        <w:pStyle w:val="132"/>
        <w:numPr>
          <w:ilvl w:val="1"/>
          <w:numId w:val="10"/>
        </w:numPr>
        <w:spacing w:after="160" w:line="256" w:lineRule="auto"/>
        <w:ind w:leftChars="0"/>
        <w:contextualSpacing/>
        <w:jc w:val="both"/>
        <w:rPr>
          <w:rFonts w:ascii="Times New Roman" w:hAnsi="Times New Roman" w:eastAsia="Malgun Gothic"/>
          <w:lang w:val="en-US"/>
        </w:rPr>
      </w:pPr>
      <w:r>
        <w:rPr>
          <w:rFonts w:ascii="Times New Roman" w:hAnsi="Times New Roman" w:eastAsia="Malgun Gothic"/>
          <w:lang w:val="en-US" w:eastAsia="ko-KR"/>
        </w:rPr>
        <w:t xml:space="preserve">FFS: A </w:t>
      </w:r>
      <w:r>
        <w:rPr>
          <w:rFonts w:ascii="Times New Roman" w:hAnsi="Times New Roman"/>
          <w:lang w:eastAsia="ko-KR"/>
        </w:rPr>
        <w:t>UE does not expect to be scheduled with more than one PDSCH in a slot, by a single DCI or multiple DCIs.</w:t>
      </w:r>
    </w:p>
    <w:p>
      <w:pPr>
        <w:pStyle w:val="132"/>
        <w:numPr>
          <w:ilvl w:val="1"/>
          <w:numId w:val="10"/>
        </w:numPr>
        <w:spacing w:after="160" w:line="256" w:lineRule="auto"/>
        <w:ind w:leftChars="0"/>
        <w:contextualSpacing/>
        <w:jc w:val="both"/>
        <w:rPr>
          <w:rFonts w:ascii="Times New Roman" w:hAnsi="Times New Roman" w:eastAsia="Malgun Gothic"/>
          <w:lang w:val="en-US"/>
        </w:rPr>
      </w:pPr>
      <w:r>
        <w:rPr>
          <w:rFonts w:ascii="Times New Roman" w:hAnsi="Times New Roman" w:eastAsia="Malgun Gothic"/>
          <w:lang w:val="en-US" w:eastAsia="ko-KR"/>
        </w:rPr>
        <w:t xml:space="preserve">FFS: A </w:t>
      </w:r>
      <w:r>
        <w:rPr>
          <w:rFonts w:ascii="Times New Roman" w:hAnsi="Times New Roman"/>
          <w:lang w:eastAsia="ko-KR"/>
        </w:rPr>
        <w:t>UE does not expect to be scheduled with more than one PUSCH in a slot, by a single DCI or multiple DCIs.</w:t>
      </w:r>
    </w:p>
    <w:p>
      <w:pPr>
        <w:pStyle w:val="132"/>
        <w:numPr>
          <w:ilvl w:val="0"/>
          <w:numId w:val="10"/>
        </w:numPr>
        <w:spacing w:after="160" w:line="256" w:lineRule="auto"/>
        <w:ind w:leftChars="0"/>
        <w:contextualSpacing/>
        <w:jc w:val="both"/>
        <w:rPr>
          <w:rFonts w:ascii="Times New Roman" w:hAnsi="Times New Roman" w:eastAsia="Malgun Gothic"/>
          <w:lang w:val="en-US"/>
        </w:rPr>
      </w:pPr>
      <w:r>
        <w:rPr>
          <w:rFonts w:ascii="Times New Roman" w:hAnsi="Times New Roman" w:eastAsia="Malgun Gothic"/>
          <w:lang w:val="en-US" w:eastAsia="ko-KR"/>
        </w:rPr>
        <w:t>For single TRP operation, for 120 kHz SCS (same as current specification for FR2-1 for PUSCH),</w:t>
      </w:r>
    </w:p>
    <w:p>
      <w:pPr>
        <w:pStyle w:val="132"/>
        <w:numPr>
          <w:ilvl w:val="1"/>
          <w:numId w:val="10"/>
        </w:numPr>
        <w:spacing w:after="160" w:line="256" w:lineRule="auto"/>
        <w:ind w:leftChars="0"/>
        <w:contextualSpacing/>
        <w:jc w:val="both"/>
        <w:rPr>
          <w:rFonts w:ascii="Times New Roman" w:hAnsi="Times New Roman" w:eastAsia="Malgun Gothic"/>
          <w:lang w:val="en-US"/>
        </w:rPr>
      </w:pPr>
      <w:r>
        <w:rPr>
          <w:rFonts w:ascii="Times New Roman" w:hAnsi="Times New Roman" w:eastAsia="Malgun Gothic"/>
          <w:lang w:val="en-US" w:eastAsia="ko-KR"/>
        </w:rPr>
        <w:t xml:space="preserve">Subject to UE capability, a </w:t>
      </w:r>
      <w:r>
        <w:rPr>
          <w:rFonts w:ascii="Times New Roman" w:hAnsi="Times New Roman"/>
          <w:lang w:eastAsia="ko-KR"/>
        </w:rPr>
        <w:t>UE can be scheduled with more than one PDSCH in a slot, by a single DCI or multiple DCIs.</w:t>
      </w:r>
    </w:p>
    <w:p>
      <w:pPr>
        <w:pStyle w:val="132"/>
        <w:numPr>
          <w:ilvl w:val="1"/>
          <w:numId w:val="10"/>
        </w:numPr>
        <w:spacing w:after="160" w:line="256" w:lineRule="auto"/>
        <w:ind w:leftChars="0"/>
        <w:contextualSpacing/>
        <w:jc w:val="both"/>
        <w:rPr>
          <w:rFonts w:ascii="Times New Roman" w:hAnsi="Times New Roman" w:eastAsia="Malgun Gothic"/>
          <w:lang w:val="en-US"/>
        </w:rPr>
      </w:pPr>
      <w:r>
        <w:rPr>
          <w:rFonts w:ascii="Times New Roman" w:hAnsi="Times New Roman" w:eastAsia="Malgun Gothic"/>
          <w:lang w:val="en-US" w:eastAsia="ko-KR"/>
        </w:rPr>
        <w:t xml:space="preserve">Subject to UE capability, a </w:t>
      </w:r>
      <w:r>
        <w:rPr>
          <w:rFonts w:ascii="Times New Roman" w:hAnsi="Times New Roman"/>
          <w:lang w:eastAsia="ko-KR"/>
        </w:rPr>
        <w:t>UE can be scheduled with more than one PUSCH in a slot, by a single DCI or multiple DCIs.</w:t>
      </w:r>
    </w:p>
    <w:p>
      <w:pPr>
        <w:pStyle w:val="132"/>
        <w:numPr>
          <w:ilvl w:val="0"/>
          <w:numId w:val="10"/>
        </w:numPr>
        <w:spacing w:line="256" w:lineRule="auto"/>
        <w:ind w:leftChars="0"/>
        <w:contextualSpacing/>
        <w:jc w:val="both"/>
        <w:rPr>
          <w:rFonts w:ascii="Times New Roman" w:hAnsi="Times New Roman" w:eastAsia="Malgun Gothic"/>
          <w:lang w:val="en-US"/>
        </w:rPr>
      </w:pPr>
      <w:r>
        <w:rPr>
          <w:rFonts w:ascii="Times New Roman" w:hAnsi="Times New Roman" w:eastAsia="Malgun Gothic"/>
          <w:lang w:val="en-US" w:eastAsia="ko-KR"/>
        </w:rPr>
        <w:t>FFS for multi-TRP operation</w:t>
      </w:r>
    </w:p>
    <w:p>
      <w:pPr>
        <w:pStyle w:val="132"/>
        <w:numPr>
          <w:ilvl w:val="0"/>
          <w:numId w:val="10"/>
        </w:numPr>
        <w:spacing w:line="256" w:lineRule="auto"/>
        <w:ind w:leftChars="0"/>
        <w:contextualSpacing/>
        <w:jc w:val="both"/>
        <w:rPr>
          <w:rFonts w:ascii="Times New Roman" w:hAnsi="Times New Roman" w:eastAsia="Malgun Gothic"/>
          <w:lang w:val="en-US"/>
        </w:rPr>
      </w:pPr>
      <w:r>
        <w:rPr>
          <w:rFonts w:ascii="Times New Roman" w:hAnsi="Times New Roman" w:eastAsia="Malgun Gothic"/>
          <w:lang w:val="en-US" w:eastAsia="ko-KR"/>
        </w:rPr>
        <w:t>Note: The optimization of HARQ codebook size for Type 1 or Type 2 codebook design is considered as a low priority in Rel-17 (this does not preclude HARQ ACK bundling in time domain).</w:t>
      </w:r>
    </w:p>
    <w:p>
      <w:pPr>
        <w:pStyle w:val="132"/>
        <w:numPr>
          <w:ilvl w:val="0"/>
          <w:numId w:val="10"/>
        </w:numPr>
        <w:spacing w:line="256" w:lineRule="auto"/>
        <w:ind w:leftChars="0"/>
        <w:contextualSpacing/>
        <w:jc w:val="both"/>
        <w:rPr>
          <w:rFonts w:ascii="Times New Roman" w:hAnsi="Times New Roman" w:eastAsia="Malgun Gothic"/>
          <w:lang w:val="en-US"/>
        </w:rPr>
      </w:pPr>
      <w:r>
        <w:rPr>
          <w:rFonts w:ascii="Times New Roman" w:hAnsi="Times New Roman" w:eastAsia="Malgun Gothic"/>
          <w:lang w:val="en-US" w:eastAsia="ko-KR"/>
        </w:rPr>
        <w:t>The agreement made in RAN1#105-e is revised as follows.</w:t>
      </w:r>
    </w:p>
    <w:tbl>
      <w:tblPr>
        <w:tblStyle w:val="25"/>
        <w:tblW w:w="9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0" w:type="dxa"/>
            <w:shd w:val="clear" w:color="auto" w:fill="auto"/>
            <w:vAlign w:val="top"/>
          </w:tcPr>
          <w:p>
            <w:pPr>
              <w:wordWrap w:val="0"/>
              <w:autoSpaceDE w:val="0"/>
              <w:autoSpaceDN w:val="0"/>
              <w:rPr>
                <w:rFonts w:ascii="Malgun Gothic" w:hAnsi="Malgun Gothic" w:eastAsia="Malgun Gothic" w:cs="Calibri"/>
                <w:lang w:val="en-US" w:eastAsia="ko-KR"/>
              </w:rPr>
            </w:pPr>
            <w:r>
              <w:rPr>
                <w:rFonts w:ascii="Times New Roman" w:hAnsi="Times New Roman" w:eastAsia="Gulim"/>
                <w:szCs w:val="20"/>
                <w:highlight w:val="green"/>
                <w:lang w:val="en-US" w:eastAsia="zh-CN"/>
              </w:rPr>
              <w:t>Agreement</w:t>
            </w:r>
            <w:r>
              <w:rPr>
                <w:rFonts w:hint="eastAsia" w:eastAsia="Gulim"/>
                <w:szCs w:val="20"/>
                <w:highlight w:val="green"/>
                <w:lang w:val="en-US" w:eastAsia="zh-CN"/>
              </w:rPr>
              <w:t xml:space="preserve"> in </w:t>
            </w:r>
            <w:r>
              <w:rPr>
                <w:rFonts w:eastAsia="Gulim"/>
                <w:highlight w:val="green"/>
                <w:lang w:val="en-US" w:eastAsia="zh-CN"/>
              </w:rPr>
              <w:t>RAN1#105-e</w:t>
            </w:r>
            <w:r>
              <w:rPr>
                <w:rFonts w:hint="eastAsia" w:eastAsia="Gulim"/>
                <w:highlight w:val="green"/>
                <w:lang w:val="en-US" w:eastAsia="zh-CN"/>
              </w:rPr>
              <w:t>:</w:t>
            </w:r>
          </w:p>
          <w:p>
            <w:pPr>
              <w:spacing w:line="252" w:lineRule="auto"/>
              <w:rPr>
                <w:rFonts w:ascii="Times New Roman" w:hAnsi="Times New Roman" w:eastAsia="Times New Roman"/>
                <w:lang w:eastAsia="zh-CN"/>
              </w:rPr>
            </w:pPr>
            <w:r>
              <w:rPr>
                <w:rFonts w:eastAsia="Times New Roman" w:cs="Times"/>
                <w:lang w:eastAsia="zh-CN"/>
              </w:rPr>
              <w:t>For enhancements of generating type-1 HARQ-ACK codebook corresponding to DCI that can schedule multiple PDSCHs, the set of candidate PDSCH reception occasions corresponding to a UL slot with HARQ-ACK transmission is determined based on a set of DL slots and a set of SLIVs corresponding to each DL slot belonging to the set of DL slots.</w:t>
            </w:r>
          </w:p>
          <w:p>
            <w:pPr>
              <w:numPr>
                <w:ilvl w:val="0"/>
                <w:numId w:val="10"/>
              </w:numPr>
              <w:spacing w:line="252" w:lineRule="auto"/>
              <w:ind w:left="360"/>
              <w:jc w:val="both"/>
              <w:rPr>
                <w:rFonts w:eastAsia="Times New Roman" w:cs="Times"/>
                <w:lang w:eastAsia="zh-CN"/>
              </w:rPr>
            </w:pPr>
            <w:r>
              <w:rPr>
                <w:rFonts w:eastAsia="Times New Roman" w:cs="Times"/>
                <w:lang w:eastAsia="zh-CN"/>
              </w:rPr>
              <w:t xml:space="preserve">The set of DL slots includes contains all the unique DL slots </w:t>
            </w:r>
            <w:r>
              <w:rPr>
                <w:rFonts w:eastAsia="Times New Roman" w:cs="Times"/>
                <w:color w:val="000000"/>
                <w:szCs w:val="20"/>
                <w:lang w:eastAsia="zh-CN"/>
              </w:rPr>
              <w:t xml:space="preserve">determined by considering all combinations of the configured </w:t>
            </w:r>
            <w:r>
              <w:rPr>
                <w:rFonts w:hint="eastAsia" w:cs="Times"/>
                <w:color w:val="000000"/>
                <w:szCs w:val="20"/>
                <w:lang w:eastAsia="zh-CN"/>
              </w:rPr>
              <w:t>K1</w:t>
            </w:r>
            <w:r>
              <w:rPr>
                <w:rFonts w:eastAsia="Times New Roman" w:cs="Times"/>
                <w:color w:val="000000"/>
                <w:szCs w:val="20"/>
                <w:lang w:eastAsia="zh-CN"/>
              </w:rPr>
              <w:t xml:space="preserve"> values and the configured rows of the TDRA table</w:t>
            </w:r>
            <w:r>
              <w:rPr>
                <w:rFonts w:eastAsia="Times New Roman" w:cs="Times"/>
                <w:lang w:eastAsia="zh-CN"/>
              </w:rPr>
              <w:t>that can be scheduled by any row index r of TDRA table in DCI indicating the UL slot as HARQ-ACK feedback timing.</w:t>
            </w:r>
          </w:p>
          <w:p>
            <w:pPr>
              <w:numPr>
                <w:ilvl w:val="0"/>
                <w:numId w:val="10"/>
              </w:numPr>
              <w:spacing w:line="252" w:lineRule="auto"/>
              <w:ind w:left="360"/>
              <w:jc w:val="both"/>
              <w:rPr>
                <w:rFonts w:eastAsia="Times New Roman" w:cs="Times"/>
                <w:lang w:eastAsia="zh-CN"/>
              </w:rPr>
            </w:pPr>
            <w:r>
              <w:rPr>
                <w:rFonts w:eastAsia="Times New Roman" w:cs="Times"/>
                <w:lang w:eastAsia="zh-CN"/>
              </w:rPr>
              <w:t xml:space="preserve">The set of SLIVs corresponding to a DL slot (belonging to the set of DL slots) at least includecontains all the SLIVs for that slot determined by considering all combinations of the configured </w:t>
            </w:r>
            <w:r>
              <w:rPr>
                <w:rFonts w:hint="eastAsia" w:cs="Times"/>
                <w:lang w:eastAsia="zh-CN"/>
              </w:rPr>
              <w:t>K1</w:t>
            </w:r>
            <w:r>
              <w:rPr>
                <w:rFonts w:eastAsia="Times New Roman" w:cs="Times"/>
                <w:lang w:eastAsia="zh-CN"/>
              </w:rPr>
              <w:t xml:space="preserve"> values and the configured rows of the TDRA tablethat can be scheduled within the DL slot by any row index r of TDRA table in DCI indicating the UL slot as HARQ-ACK feedback timing.</w:t>
            </w:r>
          </w:p>
          <w:p>
            <w:pPr>
              <w:numPr>
                <w:ilvl w:val="0"/>
                <w:numId w:val="11"/>
              </w:numPr>
              <w:tabs>
                <w:tab w:val="left" w:pos="486"/>
                <w:tab w:val="clear" w:pos="620"/>
              </w:tabs>
              <w:ind w:left="396"/>
              <w:textAlignment w:val="center"/>
              <w:rPr>
                <w:rFonts w:ascii="Times New Roman" w:hAnsi="Times New Roman" w:eastAsia="Times New Roman"/>
                <w:szCs w:val="20"/>
                <w:lang w:val="en-US"/>
              </w:rPr>
            </w:pPr>
            <w:r>
              <w:rPr>
                <w:rFonts w:ascii="Times New Roman" w:hAnsi="Times New Roman" w:eastAsia="Times New Roman"/>
                <w:szCs w:val="20"/>
                <w:lang w:val="en-US"/>
              </w:rPr>
              <w:t>The Rel-16 procedure is reused for determining the candidate PDSCH reception occasions for the set of SLIVs corresponding to each DL slot belonging to the set of DL slots</w:t>
            </w:r>
          </w:p>
          <w:p>
            <w:pPr>
              <w:numPr>
                <w:ilvl w:val="1"/>
                <w:numId w:val="10"/>
              </w:numPr>
              <w:spacing w:line="252" w:lineRule="auto"/>
              <w:ind w:left="1080"/>
              <w:jc w:val="both"/>
              <w:rPr>
                <w:rFonts w:eastAsia="Times New Roman" w:cs="Times"/>
                <w:lang w:eastAsia="zh-CN"/>
              </w:rPr>
            </w:pPr>
            <w:r>
              <w:rPr>
                <w:rFonts w:eastAsia="Times New Roman" w:cs="Times"/>
                <w:lang w:eastAsia="zh-CN"/>
              </w:rPr>
              <w:t>Note: The Rel-16 procedure already handles pruning of multiple SLIVs corresponding to a DL slot, for both UEs that are and are not capable of receiving multiple PDSCHs per slot</w:t>
            </w:r>
          </w:p>
          <w:p>
            <w:pPr>
              <w:numPr>
                <w:ilvl w:val="1"/>
                <w:numId w:val="10"/>
              </w:numPr>
              <w:spacing w:line="252" w:lineRule="auto"/>
              <w:ind w:left="1080"/>
              <w:jc w:val="both"/>
              <w:rPr>
                <w:rFonts w:eastAsia="Times New Roman" w:cs="Times"/>
                <w:lang w:eastAsia="zh-CN"/>
              </w:rPr>
            </w:pPr>
            <w:r>
              <w:rPr>
                <w:rFonts w:eastAsia="Times New Roman" w:cs="Times"/>
                <w:lang w:eastAsia="zh-CN"/>
              </w:rPr>
              <w:t>FFS: details of further pruning of the set of SLIVs</w:t>
            </w:r>
          </w:p>
          <w:p>
            <w:pPr>
              <w:numPr>
                <w:ilvl w:val="1"/>
                <w:numId w:val="10"/>
              </w:numPr>
              <w:spacing w:line="252" w:lineRule="auto"/>
              <w:ind w:left="1080"/>
              <w:jc w:val="both"/>
              <w:rPr>
                <w:rFonts w:eastAsia="Times New Roman" w:cs="Times"/>
                <w:lang w:eastAsia="zh-CN"/>
              </w:rPr>
            </w:pPr>
            <w:r>
              <w:rPr>
                <w:rFonts w:eastAsia="Times New Roman" w:cs="Times"/>
                <w:lang w:eastAsia="zh-CN"/>
              </w:rPr>
              <w:t>FFS: impact if receiving more than one PDSCH in a slot is allowed, e.g., handling of overlapped SLIVs from different rows in the same and different DL slot</w:t>
            </w:r>
          </w:p>
          <w:p>
            <w:pPr>
              <w:numPr>
                <w:ilvl w:val="1"/>
                <w:numId w:val="10"/>
              </w:numPr>
              <w:spacing w:line="252" w:lineRule="auto"/>
              <w:ind w:left="1080"/>
              <w:jc w:val="both"/>
              <w:rPr>
                <w:rFonts w:eastAsia="Times New Roman" w:cs="Times"/>
                <w:lang w:eastAsia="zh-CN"/>
              </w:rPr>
            </w:pPr>
            <w:r>
              <w:rPr>
                <w:rFonts w:eastAsia="Times New Roman" w:cs="Times"/>
                <w:lang w:eastAsia="zh-CN"/>
              </w:rPr>
              <w:t>FFS impact of time domain bundling, if supported</w:t>
            </w:r>
          </w:p>
        </w:tc>
      </w:tr>
    </w:tbl>
    <w:p>
      <w:pPr>
        <w:spacing w:before="180" w:line="260" w:lineRule="auto"/>
        <w:jc w:val="both"/>
        <w:rPr>
          <w:rFonts w:hint="eastAsia"/>
          <w:lang w:val="en-US" w:eastAsia="zh-CN"/>
        </w:rPr>
      </w:pPr>
      <w:r>
        <w:rPr>
          <w:rFonts w:hint="eastAsia"/>
          <w:lang w:val="en-US" w:eastAsia="zh-CN"/>
        </w:rPr>
        <w:t xml:space="preserve">The agreement above clarifies that the Rel-16 pruning procedure is reused in the procedure of determining the candidate PDSCH reception occasions. However, how to determine an extended K1 set and a set of SLIVs associated with each element K1_e of the extended K1 set has not been determined yet. </w:t>
      </w:r>
    </w:p>
    <w:p>
      <w:pPr>
        <w:jc w:val="both"/>
        <w:rPr>
          <w:rFonts w:hint="default"/>
          <w:lang w:val="en-US" w:eastAsia="zh-CN"/>
        </w:rPr>
      </w:pPr>
      <w:r>
        <w:rPr>
          <w:rFonts w:hint="eastAsia"/>
          <w:lang w:val="en-US" w:eastAsia="zh-CN"/>
        </w:rPr>
        <w:t>For pruning of the set of SLIVs, an extended K1 set and a set of SLIVs associated with each element K1_e of the extended K1 set should be obtained first. The extended K1 set may not be a set including all the integers from minimal element of K1 set to the sum of maximal element of K1 set and maximal PDSCHs that can be scheduled in TDRA table. For example, in figure 2.2.1-1, extended K1 set is not {1, 2, 3, 4, 5, 6, 7, 8, 9} when K1 set is{1,5}. For TDRA index=0 of Figure 2.2.1-1, a set of slot offset between the last PDSCH and each PDSCH of TDRA index=0 is  {0, 1, 3, 4}. Similar with TDRA index=0, a set of slot offset between the last PDSCH and each PDSCH of TDRA index=1 and index =2 are {0} and {0, 1}. Therefore, the set of slot offset for TDRA of Figure 1 is {0, 1, 3, 4}. The extended K1 set for each K1 value is the sum of the set of slot offset and the K1 value, i.e. the extended K1 set is {1, 2, 4, 5} for K1=1 and the extended K1 set is {5, 6, 8, 9} for K1=5. The extended K1 set for TDRA of Figure 1 if K1 set is {1, 5} is {1, 2, 4, 5, 6, 8, 9} which is the union of {1, 2, 4, 5} and {5, 6, 8, 9}.</w:t>
      </w:r>
    </w:p>
    <w:p>
      <w:pPr>
        <w:jc w:val="both"/>
        <w:rPr>
          <w:lang w:val="en-US" w:eastAsia="zh-CN"/>
        </w:rPr>
      </w:pPr>
      <w:r>
        <w:rPr>
          <w:rFonts w:hint="eastAsia"/>
          <w:lang w:val="en-US" w:eastAsia="zh-CN"/>
        </w:rPr>
        <w:t xml:space="preserve">In the current specification, for single DCI scheduling single PDSCH, pruning of the set of SLIVs is associated with HARQ-ACK feedback timing k which is associated with all the SLIVs in the TDRA table. However, for single DCI scheduling multiple PDSCHs, each element K1_e of the extended K1 set should be associated with a subset of all the SLIVs in the TDRA table. For example, in Figure 2.2.1-1, K1_e=1 is associated with K1=1 and the slot offset 0 of the set of slot offset set {0, 1, 3, 4}. The slot offset 0 is associated with K0=5&amp;R0_3 of TDRA index 0,  K0=1&amp;R1_0 of TDRA index 1 and K0=2&amp;R2_1, that is, K1_e=1 is associated with a set of SLIVs of {K0=5&amp;R0_3, K0=1&amp;R1_0, K0=2&amp;R2_1}. Similarly, K1_e=5 is associated with (K1=1, the slot offset 4) and (K1=5, the slot offset 0). The slot offset 4 is associated with K0=1&amp;R0_0 of TDRA index 0 and the slot offset 0 is associated with {K0=5&amp;R0_3, K0=1&amp;R1_0, K0=2&amp;R2_1} and K1_e=5 is associated with a set of SLIVs of {K0=1&amp;R0_0, K0=5&amp;R0_3, K0=1&amp;R1_0, K0=2&amp;R2_1}. Therefore, pruning of the set of SLIVs in the </w:t>
      </w:r>
      <w:r>
        <w:rPr>
          <w:lang w:eastAsia="zh-CN"/>
        </w:rPr>
        <w:t>pseudo-code</w:t>
      </w:r>
      <w:r>
        <w:rPr>
          <w:rFonts w:hint="eastAsia"/>
          <w:lang w:val="en-US" w:eastAsia="zh-CN"/>
        </w:rPr>
        <w:t xml:space="preserve"> should be also based on the set of SLIVs of {K0=5&amp;R0_3, K0=1&amp;R1_0, K0=2&amp;R2_1} for K1_e=1 and the set of SLIVs of {K0=1&amp;R0_0, K0=5&amp;R0_3, K0=1&amp;R1_0, K0=2&amp;R2_1} for K1_e=5 when the codebook generation procedure of single DCI scheduling single PDSCH is reused.</w:t>
      </w:r>
    </w:p>
    <w:p>
      <w:pPr>
        <w:spacing w:after="0" w:line="260" w:lineRule="auto"/>
        <w:rPr>
          <w:lang w:val="en-US" w:eastAsia="zh-CN"/>
        </w:rPr>
      </w:pPr>
      <w:r>
        <w:rPr>
          <w:lang w:val="en-US" w:eastAsia="zh-CN"/>
        </w:rPr>
        <w:drawing>
          <wp:inline distT="0" distB="0" distL="114300" distR="114300">
            <wp:extent cx="5970905" cy="1135380"/>
            <wp:effectExtent l="0" t="0" r="3175" b="762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6"/>
                    <a:stretch>
                      <a:fillRect/>
                    </a:stretch>
                  </pic:blipFill>
                  <pic:spPr>
                    <a:xfrm>
                      <a:off x="0" y="0"/>
                      <a:ext cx="5970905" cy="1135380"/>
                    </a:xfrm>
                    <a:prstGeom prst="rect">
                      <a:avLst/>
                    </a:prstGeom>
                    <a:noFill/>
                    <a:ln>
                      <a:noFill/>
                    </a:ln>
                  </pic:spPr>
                </pic:pic>
              </a:graphicData>
            </a:graphic>
          </wp:inline>
        </w:drawing>
      </w:r>
    </w:p>
    <w:p>
      <w:pPr>
        <w:jc w:val="center"/>
        <w:rPr>
          <w:lang w:val="en-US" w:eastAsia="zh-CN"/>
        </w:rPr>
      </w:pPr>
      <w:r>
        <w:rPr>
          <w:rFonts w:hint="eastAsia"/>
          <w:b/>
          <w:bCs/>
          <w:lang w:val="en-US" w:eastAsia="zh-CN"/>
        </w:rPr>
        <w:t>Figure 2.2.1-1 Table 1-1 example of TDRA which includes multiple PDSCH and K1={1,5}</w:t>
      </w:r>
    </w:p>
    <w:p>
      <w:pPr>
        <w:jc w:val="both"/>
        <w:rPr>
          <w:rFonts w:hint="eastAsia"/>
          <w:b w:val="0"/>
          <w:bCs w:val="0"/>
          <w:lang w:val="en-US" w:eastAsia="zh-CN"/>
        </w:rPr>
      </w:pPr>
      <w:r>
        <w:rPr>
          <w:rFonts w:hint="eastAsia"/>
          <w:b w:val="0"/>
          <w:bCs w:val="0"/>
          <w:lang w:val="en-US" w:eastAsia="zh-CN"/>
        </w:rPr>
        <w:t>The general procedure for extending the K1 set and determining the association between each element of the extended K1 set and  a set of SLIVs can be summarized as:</w:t>
      </w:r>
    </w:p>
    <w:p>
      <w:pPr>
        <w:numPr>
          <w:ilvl w:val="0"/>
          <w:numId w:val="12"/>
        </w:numPr>
        <w:ind w:left="720" w:hanging="360"/>
        <w:jc w:val="both"/>
        <w:rPr>
          <w:rFonts w:hint="default"/>
          <w:b w:val="0"/>
          <w:bCs w:val="0"/>
          <w:lang w:val="en-US" w:eastAsia="zh-CN"/>
        </w:rPr>
      </w:pPr>
      <w:r>
        <w:rPr>
          <w:rFonts w:hint="eastAsia"/>
          <w:b w:val="0"/>
          <w:bCs w:val="0"/>
          <w:lang w:val="en-US" w:eastAsia="zh-CN"/>
        </w:rPr>
        <w:t xml:space="preserve">Determine a set of slot offset between the last SLIV (PDSCH) and each SLIV for TDRA table. </w:t>
      </w:r>
    </w:p>
    <w:p>
      <w:pPr>
        <w:numPr>
          <w:ilvl w:val="0"/>
          <w:numId w:val="12"/>
        </w:numPr>
        <w:ind w:left="720" w:hanging="360"/>
        <w:jc w:val="both"/>
        <w:rPr>
          <w:rFonts w:hint="default"/>
          <w:b w:val="0"/>
          <w:bCs w:val="0"/>
          <w:lang w:val="en-US" w:eastAsia="zh-CN"/>
        </w:rPr>
      </w:pPr>
      <w:r>
        <w:rPr>
          <w:rFonts w:hint="eastAsia"/>
          <w:b w:val="0"/>
          <w:bCs w:val="0"/>
          <w:lang w:val="en-US" w:eastAsia="zh-CN"/>
        </w:rPr>
        <w:t>Determine a set of SLIVs for each slot offset.</w:t>
      </w:r>
    </w:p>
    <w:p>
      <w:pPr>
        <w:numPr>
          <w:ilvl w:val="0"/>
          <w:numId w:val="12"/>
        </w:numPr>
        <w:ind w:left="720" w:hanging="360"/>
        <w:jc w:val="both"/>
        <w:rPr>
          <w:rFonts w:hint="eastAsia"/>
          <w:b/>
          <w:bCs/>
          <w:lang w:val="en-US" w:eastAsia="zh-CN"/>
        </w:rPr>
      </w:pPr>
      <w:r>
        <w:rPr>
          <w:rFonts w:hint="eastAsia"/>
          <w:b w:val="0"/>
          <w:bCs w:val="0"/>
          <w:lang w:val="en-US" w:eastAsia="zh-CN"/>
        </w:rPr>
        <w:t xml:space="preserve">Determine extended K1 set based on K1 set and the set of slot offset. </w:t>
      </w:r>
    </w:p>
    <w:p>
      <w:pPr>
        <w:numPr>
          <w:ilvl w:val="0"/>
          <w:numId w:val="12"/>
        </w:numPr>
        <w:ind w:left="720" w:hanging="360"/>
        <w:jc w:val="both"/>
        <w:rPr>
          <w:rFonts w:hint="eastAsia"/>
          <w:b/>
          <w:bCs/>
          <w:lang w:val="en-US" w:eastAsia="zh-CN"/>
        </w:rPr>
      </w:pPr>
      <w:r>
        <w:rPr>
          <w:rFonts w:hint="eastAsia"/>
          <w:b w:val="0"/>
          <w:bCs w:val="0"/>
          <w:lang w:val="en-US" w:eastAsia="zh-CN"/>
        </w:rPr>
        <w:t>Determine a set of SLIVs for each element of extended K1 set.</w:t>
      </w:r>
    </w:p>
    <w:p>
      <w:pPr>
        <w:jc w:val="both"/>
        <w:rPr>
          <w:rFonts w:hint="eastAsia"/>
          <w:b/>
          <w:bCs/>
          <w:lang w:val="en-US" w:eastAsia="zh-CN"/>
        </w:rPr>
      </w:pPr>
      <w:r>
        <w:rPr>
          <w:rFonts w:hint="eastAsia"/>
          <w:b/>
          <w:bCs/>
          <w:lang w:val="en-US" w:eastAsia="zh-CN"/>
        </w:rPr>
        <w:t>Proposal 3: The procedure for extending the K1 set and determining the association between each element of the extended K1 set and a set of SLIVs could be defined as following:</w:t>
      </w:r>
    </w:p>
    <w:p>
      <w:pPr>
        <w:numPr>
          <w:ilvl w:val="0"/>
          <w:numId w:val="12"/>
        </w:numPr>
        <w:ind w:left="720" w:hanging="360"/>
        <w:jc w:val="both"/>
        <w:rPr>
          <w:rFonts w:hint="default"/>
          <w:b/>
          <w:bCs/>
          <w:lang w:val="en-US" w:eastAsia="zh-CN"/>
        </w:rPr>
      </w:pPr>
      <w:r>
        <w:rPr>
          <w:rFonts w:hint="eastAsia"/>
          <w:b/>
          <w:bCs/>
          <w:lang w:val="en-US" w:eastAsia="zh-CN"/>
        </w:rPr>
        <w:t xml:space="preserve">Determine a set of slot offset between the last SLIV (PDSCH) and each SLIV for TDRA table. </w:t>
      </w:r>
    </w:p>
    <w:p>
      <w:pPr>
        <w:numPr>
          <w:ilvl w:val="0"/>
          <w:numId w:val="12"/>
        </w:numPr>
        <w:ind w:left="720" w:hanging="360"/>
        <w:jc w:val="both"/>
        <w:rPr>
          <w:rFonts w:hint="default"/>
          <w:b/>
          <w:bCs/>
          <w:lang w:val="en-US" w:eastAsia="zh-CN"/>
        </w:rPr>
      </w:pPr>
      <w:r>
        <w:rPr>
          <w:rFonts w:hint="eastAsia"/>
          <w:b/>
          <w:bCs/>
          <w:lang w:val="en-US" w:eastAsia="zh-CN"/>
        </w:rPr>
        <w:t>Determine a set of SLIVs for each slot offset.</w:t>
      </w:r>
    </w:p>
    <w:p>
      <w:pPr>
        <w:numPr>
          <w:ilvl w:val="0"/>
          <w:numId w:val="12"/>
        </w:numPr>
        <w:ind w:left="720" w:hanging="360"/>
        <w:jc w:val="both"/>
        <w:rPr>
          <w:rFonts w:hint="eastAsia"/>
          <w:b/>
          <w:bCs/>
          <w:lang w:val="en-US" w:eastAsia="zh-CN"/>
        </w:rPr>
      </w:pPr>
      <w:r>
        <w:rPr>
          <w:rFonts w:hint="eastAsia"/>
          <w:b/>
          <w:bCs/>
          <w:lang w:val="en-US" w:eastAsia="zh-CN"/>
        </w:rPr>
        <w:t xml:space="preserve">Determine extended K1 set based on K1 set and the set of slot offset. </w:t>
      </w:r>
    </w:p>
    <w:p>
      <w:pPr>
        <w:numPr>
          <w:ilvl w:val="0"/>
          <w:numId w:val="12"/>
        </w:numPr>
        <w:ind w:left="720" w:hanging="360"/>
        <w:jc w:val="both"/>
        <w:rPr>
          <w:rFonts w:hint="eastAsia"/>
          <w:b/>
          <w:bCs/>
          <w:lang w:val="en-US" w:eastAsia="zh-CN"/>
        </w:rPr>
      </w:pPr>
      <w:r>
        <w:rPr>
          <w:rFonts w:hint="eastAsia"/>
          <w:b/>
          <w:bCs/>
          <w:lang w:val="en-US" w:eastAsia="zh-CN"/>
        </w:rPr>
        <w:t>Determine a set of SLIVs for each element of extended K1 set.</w:t>
      </w:r>
    </w:p>
    <w:p>
      <w:pPr>
        <w:pStyle w:val="4"/>
        <w:rPr>
          <w:lang w:val="en-US" w:eastAsia="zh-CN"/>
        </w:rPr>
      </w:pPr>
      <w:r>
        <w:rPr>
          <w:rFonts w:hint="eastAsia"/>
          <w:lang w:val="en-US" w:eastAsia="zh-CN"/>
        </w:rPr>
        <w:t>Type 2 HARQ-ACK codebook enhancement</w:t>
      </w:r>
    </w:p>
    <w:p>
      <w:pPr>
        <w:pStyle w:val="17"/>
        <w:jc w:val="both"/>
        <w:rPr>
          <w:rFonts w:hint="default"/>
          <w:kern w:val="2"/>
          <w:lang w:val="en-US" w:eastAsia="zh-CN"/>
        </w:rPr>
      </w:pPr>
      <w:r>
        <w:rPr>
          <w:rFonts w:hint="eastAsia"/>
          <w:kern w:val="2"/>
          <w:lang w:val="en-US" w:eastAsia="zh-CN"/>
        </w:rPr>
        <w:t>In RAN1 #106-e meeting</w:t>
      </w:r>
      <w:r>
        <w:rPr>
          <w:rFonts w:hint="eastAsia"/>
          <w:lang w:val="en-US" w:eastAsia="zh-CN"/>
        </w:rPr>
        <w:t>, an agreement was achieved for constructing type 2 HARQ-ACK codebook when CBG operation is configured as follows:</w:t>
      </w:r>
      <w:r>
        <w:rPr>
          <w:rFonts w:hint="eastAsia"/>
          <w:kern w:val="2"/>
          <w:lang w:val="en-US" w:eastAsia="zh-CN"/>
        </w:rPr>
        <w:t xml:space="preserve"> </w:t>
      </w:r>
    </w:p>
    <w:p>
      <w:pPr>
        <w:spacing w:line="252" w:lineRule="auto"/>
        <w:jc w:val="both"/>
        <w:rPr>
          <w:rFonts w:ascii="Times New Roman" w:hAnsi="Times New Roman"/>
          <w:szCs w:val="20"/>
          <w:lang w:eastAsia="ko-KR"/>
        </w:rPr>
      </w:pPr>
      <w:r>
        <w:rPr>
          <w:rFonts w:ascii="Times New Roman" w:hAnsi="Times New Roman"/>
          <w:szCs w:val="20"/>
          <w:highlight w:val="green"/>
          <w:lang w:eastAsia="ko-KR"/>
        </w:rPr>
        <w:t>Agreement:</w:t>
      </w:r>
    </w:p>
    <w:p>
      <w:pPr>
        <w:spacing w:after="60" w:line="252" w:lineRule="auto"/>
        <w:jc w:val="both"/>
        <w:rPr>
          <w:rFonts w:ascii="Times New Roman" w:hAnsi="Times New Roman"/>
          <w:szCs w:val="20"/>
          <w:lang w:eastAsia="zh-CN"/>
        </w:rPr>
      </w:pPr>
      <w:r>
        <w:rPr>
          <w:rFonts w:ascii="Times New Roman" w:hAnsi="Times New Roman"/>
          <w:szCs w:val="20"/>
          <w:lang w:eastAsia="ko-KR"/>
        </w:rPr>
        <w:t>Consider the following options to construct type-2 HARQ-ACK codebook when CBG operation is configured, and down-select to one of the following options in RAN1#106bis-e.</w:t>
      </w:r>
    </w:p>
    <w:p>
      <w:pPr>
        <w:numPr>
          <w:ilvl w:val="0"/>
          <w:numId w:val="10"/>
        </w:numPr>
        <w:spacing w:after="60" w:line="252" w:lineRule="auto"/>
        <w:jc w:val="both"/>
        <w:rPr>
          <w:rFonts w:ascii="Times New Roman" w:hAnsi="Times New Roman"/>
          <w:szCs w:val="20"/>
          <w:lang w:eastAsia="ko-KR"/>
        </w:rPr>
      </w:pPr>
      <w:r>
        <w:rPr>
          <w:rFonts w:cs="Times"/>
          <w:szCs w:val="20"/>
          <w:lang w:eastAsia="ko-KR"/>
        </w:rPr>
        <w:t>Option 1: HARQ-ACK bits corresponding to CBG-based PDSCH reception and multi-PDSCH reception are merged into the same sub-codebook.</w:t>
      </w:r>
    </w:p>
    <w:p>
      <w:pPr>
        <w:numPr>
          <w:ilvl w:val="0"/>
          <w:numId w:val="10"/>
        </w:numPr>
        <w:spacing w:after="60" w:line="252" w:lineRule="auto"/>
        <w:jc w:val="both"/>
        <w:rPr>
          <w:rFonts w:ascii="Times New Roman" w:hAnsi="Times New Roman"/>
          <w:szCs w:val="20"/>
          <w:lang w:eastAsia="ko-KR"/>
        </w:rPr>
      </w:pPr>
      <w:r>
        <w:rPr>
          <w:rFonts w:cs="Times"/>
          <w:szCs w:val="20"/>
          <w:lang w:eastAsia="ko-KR"/>
        </w:rPr>
        <w:t>Option 2: HARQ-ACK bits corresponding to CBG-based PDSCH reception and HARQ-ACK bits corresponding to multi-PDSCH reception are contained in separate sub-codebooks.</w:t>
      </w:r>
    </w:p>
    <w:p>
      <w:pPr>
        <w:numPr>
          <w:ilvl w:val="0"/>
          <w:numId w:val="10"/>
        </w:numPr>
        <w:spacing w:after="60" w:line="252" w:lineRule="auto"/>
        <w:jc w:val="both"/>
        <w:rPr>
          <w:rFonts w:ascii="Times New Roman" w:hAnsi="Times New Roman"/>
          <w:szCs w:val="20"/>
          <w:lang w:eastAsia="ko-KR"/>
        </w:rPr>
      </w:pPr>
      <w:r>
        <w:rPr>
          <w:rFonts w:cs="Times"/>
          <w:szCs w:val="20"/>
          <w:lang w:eastAsia="ko-KR"/>
        </w:rPr>
        <w:t>Option 3: UE does not expect to be configured with both of CBG operation and multi-PDSCH scheduling in the same PUCCH cell group.</w:t>
      </w:r>
    </w:p>
    <w:p>
      <w:pPr>
        <w:numPr>
          <w:ilvl w:val="0"/>
          <w:numId w:val="10"/>
        </w:numPr>
        <w:spacing w:after="60" w:line="252" w:lineRule="auto"/>
        <w:jc w:val="both"/>
        <w:rPr>
          <w:rFonts w:ascii="Times New Roman" w:hAnsi="Times New Roman"/>
          <w:szCs w:val="20"/>
          <w:lang w:eastAsia="ko-KR"/>
        </w:rPr>
      </w:pPr>
      <w:r>
        <w:rPr>
          <w:rFonts w:ascii="Times New Roman" w:hAnsi="Times New Roman"/>
          <w:szCs w:val="20"/>
          <w:lang w:eastAsia="ko-KR"/>
        </w:rPr>
        <w:t xml:space="preserve">Note: </w:t>
      </w:r>
      <w:r>
        <w:rPr>
          <w:rFonts w:cs="Times"/>
          <w:szCs w:val="20"/>
          <w:lang w:eastAsia="ko-KR"/>
        </w:rPr>
        <w:t>Multi-PDSCH reception refers to the case where multiple PDSCHs are scheduled by a DCI that is configured with TDRA table containing at least one row with multiple SLIVs.</w:t>
      </w:r>
    </w:p>
    <w:p>
      <w:pPr>
        <w:pStyle w:val="17"/>
        <w:spacing w:before="180" w:line="260" w:lineRule="auto"/>
        <w:jc w:val="both"/>
        <w:rPr>
          <w:rFonts w:hint="eastAsia"/>
          <w:kern w:val="2"/>
          <w:lang w:val="en-US" w:eastAsia="zh-CN"/>
        </w:rPr>
      </w:pPr>
      <w:r>
        <w:rPr>
          <w:rFonts w:hint="eastAsia"/>
          <w:kern w:val="2"/>
          <w:lang w:val="en-US" w:eastAsia="zh-CN"/>
        </w:rPr>
        <w:t xml:space="preserve">For Option 1, Maximum number of CBGs per TB and maximum number of PDSCHs may be different, which will likely further increase the HARQ-ACK feedback redundancy. For Option 2, additional DAI bit field in UL grant needs to be introduced for the third sub-codebook and the overhead of DCI will increase when multi-PDSCH and CBG operation are configured. Option 3 is relatively simple and may introduce some restrictions especially for carrier aggregation between FR1/2-1 and FR2-2. But for the sake of simplicity, we slightly prefer Option 3. </w:t>
      </w:r>
    </w:p>
    <w:p>
      <w:pPr>
        <w:pStyle w:val="17"/>
        <w:jc w:val="both"/>
        <w:rPr>
          <w:rFonts w:hint="default"/>
          <w:b/>
          <w:bCs/>
          <w:kern w:val="2"/>
          <w:lang w:val="en-US" w:eastAsia="zh-CN"/>
        </w:rPr>
      </w:pPr>
      <w:r>
        <w:rPr>
          <w:rFonts w:hint="eastAsia"/>
          <w:b/>
          <w:bCs/>
          <w:kern w:val="2"/>
          <w:lang w:val="en-US" w:eastAsia="zh-CN"/>
        </w:rPr>
        <w:t>Proposal 4: When CBG operation is configured, the following Option 3 is preferred</w:t>
      </w:r>
    </w:p>
    <w:p>
      <w:pPr>
        <w:pStyle w:val="17"/>
        <w:numPr>
          <w:ilvl w:val="0"/>
          <w:numId w:val="13"/>
        </w:numPr>
        <w:ind w:left="420" w:hanging="420"/>
        <w:rPr>
          <w:rFonts w:eastAsia="宋体"/>
          <w:b/>
          <w:bCs/>
          <w:lang w:val="en-US" w:eastAsia="zh-CN"/>
        </w:rPr>
      </w:pPr>
      <w:r>
        <w:rPr>
          <w:rFonts w:hint="default"/>
          <w:b/>
          <w:bCs/>
          <w:kern w:val="2"/>
          <w:lang w:val="en-US" w:eastAsia="zh-CN"/>
        </w:rPr>
        <w:t>UE does not expect to be configured with both of CBG operation and multi-PDSCH scheduling in the same PUCCH cell group.</w:t>
      </w:r>
    </w:p>
    <w:p>
      <w:pPr>
        <w:pStyle w:val="4"/>
        <w:rPr>
          <w:lang w:val="en-US" w:eastAsia="zh-CN"/>
        </w:rPr>
      </w:pPr>
      <w:r>
        <w:rPr>
          <w:rFonts w:hint="eastAsia"/>
          <w:lang w:val="en-US" w:eastAsia="zh-CN"/>
        </w:rPr>
        <w:t xml:space="preserve">HARQ-ACK information carried by different PUCCH(s) </w:t>
      </w:r>
    </w:p>
    <w:p>
      <w:pPr>
        <w:jc w:val="both"/>
        <w:rPr>
          <w:lang w:eastAsia="ko-KR"/>
        </w:rPr>
      </w:pPr>
      <w:r>
        <w:rPr>
          <w:rFonts w:eastAsia="宋体"/>
          <w:lang w:eastAsia="zh-CN"/>
        </w:rPr>
        <w:t>In Rel-16 NR-U, e</w:t>
      </w:r>
      <w:r>
        <w:rPr>
          <w:rFonts w:hint="eastAsia" w:eastAsia="宋体"/>
          <w:lang w:val="en-US" w:eastAsia="zh-CN"/>
        </w:rPr>
        <w:t>n</w:t>
      </w:r>
      <w:r>
        <w:rPr>
          <w:rFonts w:hint="eastAsia"/>
          <w:lang w:val="en-US" w:eastAsia="zh-CN"/>
        </w:rPr>
        <w:t xml:space="preserve">hanced dynamic </w:t>
      </w:r>
      <w:r>
        <w:rPr>
          <w:rFonts w:eastAsia="宋体"/>
          <w:lang w:eastAsia="zh-CN"/>
        </w:rPr>
        <w:t xml:space="preserve">HARQ-ACK codebook </w:t>
      </w:r>
      <w:r>
        <w:rPr>
          <w:rFonts w:hint="eastAsia" w:eastAsia="宋体"/>
          <w:lang w:val="en-US" w:eastAsia="zh-CN"/>
        </w:rPr>
        <w:t>was</w:t>
      </w:r>
      <w:r>
        <w:rPr>
          <w:rFonts w:eastAsia="宋体"/>
          <w:lang w:eastAsia="zh-CN"/>
        </w:rPr>
        <w:t xml:space="preserve"> introduced.</w:t>
      </w:r>
      <w:r>
        <w:rPr>
          <w:rFonts w:hint="eastAsia"/>
          <w:lang w:val="en-US" w:eastAsia="zh-CN"/>
        </w:rPr>
        <w:t xml:space="preserve"> </w:t>
      </w:r>
      <w:r>
        <w:rPr>
          <w:bCs/>
        </w:rPr>
        <w:t xml:space="preserve">gNB can request HARQ-ACK feedback </w:t>
      </w:r>
      <w:r>
        <w:rPr>
          <w:rFonts w:hint="eastAsia" w:eastAsia="宋体"/>
          <w:bCs/>
          <w:lang w:val="en-US" w:eastAsia="zh-CN"/>
        </w:rPr>
        <w:t xml:space="preserve">for </w:t>
      </w:r>
      <w:r>
        <w:rPr>
          <w:bCs/>
        </w:rPr>
        <w:t>one or more</w:t>
      </w:r>
      <w:r>
        <w:rPr>
          <w:rFonts w:hint="eastAsia" w:eastAsia="宋体"/>
          <w:bCs/>
          <w:lang w:val="en-US" w:eastAsia="zh-CN"/>
        </w:rPr>
        <w:t xml:space="preserve"> PDSCH </w:t>
      </w:r>
      <w:r>
        <w:rPr>
          <w:bCs/>
        </w:rPr>
        <w:t>groups</w:t>
      </w:r>
      <w:r>
        <w:rPr>
          <w:rFonts w:hint="eastAsia" w:eastAsia="宋体"/>
          <w:bCs/>
          <w:lang w:val="en-US" w:eastAsia="zh-CN"/>
        </w:rPr>
        <w:t xml:space="preserve"> </w:t>
      </w:r>
      <w:r>
        <w:rPr>
          <w:bCs/>
        </w:rPr>
        <w:t xml:space="preserve">in </w:t>
      </w:r>
      <w:r>
        <w:rPr>
          <w:rFonts w:hint="eastAsia" w:eastAsia="宋体"/>
          <w:bCs/>
          <w:lang w:val="en-US" w:eastAsia="zh-CN"/>
        </w:rPr>
        <w:t xml:space="preserve">the </w:t>
      </w:r>
      <w:r>
        <w:rPr>
          <w:bCs/>
        </w:rPr>
        <w:t>DCI scheduling the PDSCH</w:t>
      </w:r>
      <w:r>
        <w:rPr>
          <w:rFonts w:hint="eastAsia" w:eastAsia="宋体"/>
          <w:bCs/>
          <w:lang w:val="en-US" w:eastAsia="zh-CN"/>
        </w:rPr>
        <w:t xml:space="preserve">. In addition, </w:t>
      </w:r>
      <w:r>
        <w:rPr>
          <w:bCs/>
        </w:rPr>
        <w:t xml:space="preserve">HARQ-ACK feedback for all PDSCHs in the same </w:t>
      </w:r>
      <w:r>
        <w:rPr>
          <w:rFonts w:hint="eastAsia" w:eastAsia="宋体"/>
          <w:bCs/>
          <w:lang w:val="en-US" w:eastAsia="zh-CN"/>
        </w:rPr>
        <w:t xml:space="preserve">PDSCH </w:t>
      </w:r>
      <w:r>
        <w:rPr>
          <w:bCs/>
        </w:rPr>
        <w:t xml:space="preserve">group </w:t>
      </w:r>
      <w:r>
        <w:rPr>
          <w:rFonts w:hint="eastAsia" w:eastAsia="宋体"/>
          <w:bCs/>
          <w:lang w:val="en-US" w:eastAsia="zh-CN"/>
        </w:rPr>
        <w:t>is allowed to be</w:t>
      </w:r>
      <w:r>
        <w:rPr>
          <w:bCs/>
        </w:rPr>
        <w:t xml:space="preserve"> carried in the same PUCCH</w:t>
      </w:r>
      <w:r>
        <w:rPr>
          <w:rFonts w:hint="eastAsia" w:eastAsia="宋体"/>
          <w:bCs/>
          <w:lang w:val="en-US" w:eastAsia="zh-CN"/>
        </w:rPr>
        <w:t xml:space="preserve">.  </w:t>
      </w:r>
      <w:r>
        <w:rPr>
          <w:rFonts w:hint="eastAsia"/>
          <w:lang w:val="en-US" w:eastAsia="zh-CN"/>
        </w:rPr>
        <w:t xml:space="preserve">For </w:t>
      </w:r>
      <w:r>
        <w:rPr>
          <w:lang w:eastAsia="zh-CN"/>
        </w:rPr>
        <w:t>52.6GHz-71GHz frequency</w:t>
      </w:r>
      <w:r>
        <w:rPr>
          <w:lang w:val="en-US" w:eastAsia="zh-CN"/>
        </w:rPr>
        <w:t xml:space="preserve">, the enhanced dynamic HARQ-ACK codebook can </w:t>
      </w:r>
      <w:r>
        <w:rPr>
          <w:rFonts w:hint="eastAsia"/>
          <w:lang w:val="en-US" w:eastAsia="zh-CN"/>
        </w:rPr>
        <w:t xml:space="preserve">also </w:t>
      </w:r>
      <w:r>
        <w:rPr>
          <w:lang w:val="en-US" w:eastAsia="zh-CN"/>
        </w:rPr>
        <w:t>be supported</w:t>
      </w:r>
      <w:r>
        <w:rPr>
          <w:rFonts w:hint="eastAsia"/>
          <w:lang w:val="en-US" w:eastAsia="zh-CN"/>
        </w:rPr>
        <w:t xml:space="preserve"> to provide more</w:t>
      </w:r>
      <w:r>
        <w:rPr>
          <w:rFonts w:hint="eastAsia"/>
        </w:rPr>
        <w:t xml:space="preserve"> transmission opportunity for HARQ-ACK feedback</w:t>
      </w:r>
      <w:r>
        <w:rPr>
          <w:lang w:val="en-US" w:eastAsia="zh-CN"/>
        </w:rPr>
        <w:t>.</w:t>
      </w:r>
      <w:r>
        <w:rPr>
          <w:rFonts w:hint="eastAsia"/>
          <w:lang w:val="en-US" w:eastAsia="zh-CN"/>
        </w:rPr>
        <w:t xml:space="preserve"> However, since </w:t>
      </w:r>
      <w:r>
        <w:rPr>
          <w:lang w:eastAsia="ko-KR"/>
        </w:rPr>
        <w:t>multi-PDSCH scheduling</w:t>
      </w:r>
      <w:r>
        <w:rPr>
          <w:rFonts w:hint="eastAsia" w:eastAsia="宋体"/>
          <w:lang w:val="en-US" w:eastAsia="zh-CN"/>
        </w:rPr>
        <w:t xml:space="preserve"> is introduced, f</w:t>
      </w:r>
      <w:r>
        <w:rPr>
          <w:lang w:eastAsia="ko-KR"/>
        </w:rPr>
        <w:t xml:space="preserve">urther discussion </w:t>
      </w:r>
      <w:r>
        <w:rPr>
          <w:rFonts w:hint="eastAsia"/>
          <w:lang w:val="en-US" w:eastAsia="zh-CN"/>
        </w:rPr>
        <w:t>on</w:t>
      </w:r>
      <w:r>
        <w:rPr>
          <w:lang w:eastAsia="ko-KR"/>
        </w:rPr>
        <w:t xml:space="preserve"> how to construct HARQ-ACK codebook</w:t>
      </w:r>
      <w:r>
        <w:rPr>
          <w:rFonts w:hint="eastAsia"/>
          <w:lang w:val="en-US" w:eastAsia="zh-CN"/>
        </w:rPr>
        <w:t xml:space="preserve"> should be specified</w:t>
      </w:r>
      <w:r>
        <w:rPr>
          <w:lang w:eastAsia="ko-KR"/>
        </w:rPr>
        <w:t>.</w:t>
      </w:r>
    </w:p>
    <w:p>
      <w:pPr>
        <w:jc w:val="both"/>
        <w:rPr>
          <w:lang w:val="en-US" w:eastAsia="zh-CN"/>
        </w:rPr>
      </w:pPr>
      <w:r>
        <w:rPr>
          <w:rFonts w:hint="eastAsia" w:eastAsia="宋体"/>
          <w:lang w:val="en-US" w:eastAsia="zh-CN"/>
        </w:rPr>
        <w:t xml:space="preserve">For each PDSCH </w:t>
      </w:r>
      <w:r>
        <w:rPr>
          <w:rFonts w:eastAsia="宋体"/>
          <w:lang w:eastAsia="zh-CN"/>
        </w:rPr>
        <w:t>group</w:t>
      </w:r>
      <w:r>
        <w:rPr>
          <w:rFonts w:hint="eastAsia" w:eastAsia="宋体"/>
          <w:lang w:val="en-US" w:eastAsia="zh-CN"/>
        </w:rPr>
        <w:t xml:space="preserve">, the </w:t>
      </w:r>
      <w:r>
        <w:rPr>
          <w:rFonts w:hint="eastAsia" w:ascii="Times" w:hAnsi="Times" w:eastAsia="宋体"/>
          <w:lang w:val="en-US" w:eastAsia="zh-CN"/>
        </w:rPr>
        <w:t xml:space="preserve">C-DAI/T-DAI count method should be the same as </w:t>
      </w:r>
      <w:r>
        <w:rPr>
          <w:rFonts w:hint="eastAsia"/>
          <w:lang w:val="en-US" w:eastAsia="zh-CN"/>
        </w:rPr>
        <w:t xml:space="preserve">dynamic HARQ-ACK codebook in section 2.2.2. Besides other aspects such as </w:t>
      </w:r>
      <w:r>
        <w:t>how gNB triggers or indicates the UE to feedback the HARQ-ACK information for these scheduled PDSCH(s) should be specified.</w:t>
      </w:r>
      <w:r>
        <w:rPr>
          <w:lang w:val="en-US" w:eastAsia="zh-CN"/>
        </w:rPr>
        <w:t xml:space="preserve"> For example, the determination of the PDSCH group index of each scheduled PDSCH, the interpretation of the </w:t>
      </w:r>
      <w:r>
        <w:rPr>
          <w:rFonts w:hint="eastAsia"/>
          <w:lang w:val="en-US" w:eastAsia="zh-CN"/>
        </w:rPr>
        <w:t>K1</w:t>
      </w:r>
      <w:r>
        <w:rPr>
          <w:lang w:val="en-US" w:eastAsia="zh-CN"/>
        </w:rPr>
        <w:t xml:space="preserve"> value for HARQ-ACK feedback for each PDSCH group, and how to design the indication of NFI/T-DAI should be specified.</w:t>
      </w:r>
      <w:r>
        <w:rPr>
          <w:rFonts w:hint="eastAsia"/>
          <w:lang w:val="en-US" w:eastAsia="zh-CN"/>
        </w:rPr>
        <w:t xml:space="preserve"> </w:t>
      </w:r>
    </w:p>
    <w:p>
      <w:pPr>
        <w:jc w:val="both"/>
        <w:rPr>
          <w:lang w:val="en-US" w:eastAsia="zh-CN"/>
        </w:rPr>
      </w:pPr>
      <w:r>
        <w:rPr>
          <w:rFonts w:hint="eastAsia" w:eastAsia="宋体"/>
          <w:lang w:val="en-US" w:eastAsia="zh-CN"/>
        </w:rPr>
        <w:t xml:space="preserve">Besides, considering the HARQ-ACK feedback delay, the scheduled </w:t>
      </w:r>
      <w:r>
        <w:rPr>
          <w:lang w:eastAsia="ko-KR"/>
        </w:rPr>
        <w:t>multi</w:t>
      </w:r>
      <w:r>
        <w:rPr>
          <w:rFonts w:hint="eastAsia" w:eastAsia="宋体"/>
          <w:lang w:val="en-US" w:eastAsia="zh-CN"/>
        </w:rPr>
        <w:t xml:space="preserve">ple </w:t>
      </w:r>
      <w:r>
        <w:rPr>
          <w:lang w:eastAsia="ko-KR"/>
        </w:rPr>
        <w:t>PDSCH</w:t>
      </w:r>
      <w:r>
        <w:rPr>
          <w:rFonts w:hint="eastAsia" w:eastAsia="宋体"/>
          <w:lang w:val="en-US" w:eastAsia="zh-CN"/>
        </w:rPr>
        <w:t xml:space="preserve">s for one DCI can be divided into different PDSCH groups, and the first transmitted PDSCH group can firstly feedback HARQ-ACK in one PUCCH, and the later transmitted PDSCH belong to the second PDSCH group can be </w:t>
      </w:r>
      <w:r>
        <w:rPr>
          <w:rFonts w:eastAsia="宋体"/>
          <w:lang w:val="en-US" w:eastAsia="zh-CN"/>
        </w:rPr>
        <w:t xml:space="preserve">corresponding to a </w:t>
      </w:r>
      <w:r>
        <w:rPr>
          <w:rFonts w:hint="eastAsia" w:eastAsia="宋体"/>
          <w:lang w:val="en-US" w:eastAsia="zh-CN"/>
        </w:rPr>
        <w:t>later feedback HARQ-ACK in the other PUCCH.</w:t>
      </w:r>
    </w:p>
    <w:p>
      <w:pPr>
        <w:rPr>
          <w:rFonts w:hint="eastAsia" w:eastAsia="宋体"/>
          <w:b/>
          <w:bCs/>
          <w:lang w:val="en-US" w:eastAsia="zh-CN"/>
        </w:rPr>
      </w:pPr>
      <w:r>
        <w:rPr>
          <w:rFonts w:hint="eastAsia" w:eastAsia="宋体"/>
          <w:b/>
          <w:bCs/>
          <w:lang w:val="en-US" w:eastAsia="zh-CN"/>
        </w:rPr>
        <w:t xml:space="preserve">Proposal 5: HARQ-ACK information corresponding to different PDSCHs scheduled by the DCI can be carried by different PUCCH(s) </w:t>
      </w:r>
      <w:r>
        <w:rPr>
          <w:rFonts w:eastAsia="宋体"/>
          <w:b/>
          <w:bCs/>
          <w:lang w:val="en-US" w:eastAsia="zh-CN"/>
        </w:rPr>
        <w:t>considering</w:t>
      </w:r>
      <w:r>
        <w:rPr>
          <w:rFonts w:hint="eastAsia" w:eastAsia="宋体"/>
          <w:b/>
          <w:bCs/>
          <w:lang w:val="en-US" w:eastAsia="zh-CN"/>
        </w:rPr>
        <w:t xml:space="preserve"> HARQ-ACK feedback delay.</w:t>
      </w:r>
      <w:bookmarkEnd w:id="5"/>
    </w:p>
    <w:p>
      <w:pPr>
        <w:pStyle w:val="4"/>
        <w:rPr>
          <w:rFonts w:hint="eastAsia" w:ascii="Arial" w:hAnsi="Arial" w:eastAsia="Times New Roman" w:cs="Arial"/>
          <w:b w:val="0"/>
          <w:bCs/>
          <w:lang w:val="en-US" w:eastAsia="zh-CN"/>
        </w:rPr>
      </w:pPr>
      <w:r>
        <w:rPr>
          <w:rFonts w:hint="eastAsia" w:cs="Arial"/>
          <w:b w:val="0"/>
          <w:bCs/>
          <w:lang w:val="en-US" w:eastAsia="zh-CN"/>
        </w:rPr>
        <w:t>HARQ process number related issues</w:t>
      </w:r>
    </w:p>
    <w:p>
      <w:pPr>
        <w:adjustRightInd w:val="0"/>
        <w:snapToGrid w:val="0"/>
        <w:spacing w:after="156" w:afterLines="50"/>
        <w:jc w:val="both"/>
        <w:rPr>
          <w:rFonts w:hint="default" w:eastAsia="宋体" w:cs="Times"/>
          <w:szCs w:val="20"/>
          <w:lang w:val="en-US" w:eastAsia="zh-CN"/>
        </w:rPr>
      </w:pPr>
      <w:r>
        <w:rPr>
          <w:rFonts w:hint="eastAsia" w:cs="Times New Roman"/>
          <w:bCs/>
          <w:i w:val="0"/>
          <w:iCs/>
          <w:kern w:val="0"/>
          <w:sz w:val="20"/>
          <w:szCs w:val="20"/>
          <w:lang w:val="en-US" w:eastAsia="zh-CN"/>
        </w:rPr>
        <w:t>In Rel-17 NTN WI, it has been agreed to extend the value range of K1 from (0..15) to (0..31)</w:t>
      </w:r>
      <w:r>
        <w:rPr>
          <w:rFonts w:hint="eastAsia" w:eastAsia="宋体" w:cs="Times"/>
          <w:szCs w:val="20"/>
          <w:lang w:val="en-US" w:eastAsia="zh-CN"/>
        </w:rPr>
        <w:t xml:space="preserve">  to support  up to 32 HARQ process number </w:t>
      </w:r>
      <w:r>
        <w:rPr>
          <w:rFonts w:hint="eastAsia" w:cs="Times New Roman"/>
          <w:bCs/>
          <w:i w:val="0"/>
          <w:iCs/>
          <w:kern w:val="0"/>
          <w:sz w:val="20"/>
          <w:szCs w:val="20"/>
          <w:lang w:val="en-US" w:eastAsia="zh-CN"/>
        </w:rPr>
        <w:t>for unpaired spectrum in RAN1 #104e. Further, according to the agreement of Rel-17 above 52.6GHz in RAN1 #106-e , t</w:t>
      </w:r>
      <w:r>
        <w:rPr>
          <w:rFonts w:cs="Times"/>
          <w:szCs w:val="20"/>
          <w:lang w:eastAsia="ko-KR"/>
        </w:rPr>
        <w:t>he same solution to support up to 32 HARQ process number in Rel-17 NTN WI is reused for NR FR2-2</w:t>
      </w:r>
      <w:r>
        <w:rPr>
          <w:rFonts w:hint="eastAsia" w:eastAsia="宋体" w:cs="Times"/>
          <w:szCs w:val="20"/>
          <w:lang w:val="en-US" w:eastAsia="zh-CN"/>
        </w:rPr>
        <w:t xml:space="preserve"> and extend the value range of K1 also should be reused. The related agreements mentioned above are copied below:</w:t>
      </w:r>
    </w:p>
    <w:p>
      <w:pPr>
        <w:spacing w:after="0" w:line="260" w:lineRule="auto"/>
        <w:rPr>
          <w:rFonts w:hint="eastAsia" w:eastAsia="宋体"/>
          <w:highlight w:val="green"/>
          <w:lang w:val="en-US" w:eastAsia="zh-CN"/>
        </w:rPr>
      </w:pPr>
      <w:r>
        <w:rPr>
          <w:highlight w:val="green"/>
        </w:rPr>
        <w:t>Agreement</w:t>
      </w:r>
      <w:r>
        <w:rPr>
          <w:rFonts w:hint="eastAsia" w:eastAsia="宋体"/>
          <w:highlight w:val="green"/>
          <w:lang w:val="en-US" w:eastAsia="zh-CN"/>
        </w:rPr>
        <w:t xml:space="preserve"> in RAN1 #104-e for Rel-17 NTN:</w:t>
      </w:r>
    </w:p>
    <w:p>
      <w:pPr>
        <w:spacing w:after="0" w:line="260" w:lineRule="auto"/>
      </w:pPr>
      <w:r>
        <w:t xml:space="preserve">For unpaired spectrum, extend the value range of </w:t>
      </w:r>
      <w:r>
        <w:rPr>
          <w:rFonts w:hint="eastAsia" w:eastAsia="宋体"/>
          <w:lang w:eastAsia="zh-CN"/>
        </w:rPr>
        <w:t>K1</w:t>
      </w:r>
      <w:r>
        <w:t xml:space="preserve"> from (0..15) to (0..31) </w:t>
      </w:r>
    </w:p>
    <w:p>
      <w:pPr>
        <w:spacing w:after="137" w:afterLines="50" w:line="260" w:lineRule="auto"/>
      </w:pPr>
      <w:r>
        <w:t>FFS: Whether there is an impact on the size of the PDSCH-to-HARQ_feedback timing indicator field in DCI.</w:t>
      </w:r>
    </w:p>
    <w:p>
      <w:pPr>
        <w:spacing w:after="0"/>
        <w:rPr>
          <w:rFonts w:hint="default" w:eastAsia="宋体"/>
          <w:iCs/>
          <w:lang w:val="en-US" w:eastAsia="zh-CN"/>
        </w:rPr>
      </w:pPr>
      <w:r>
        <w:rPr>
          <w:iCs/>
          <w:highlight w:val="green"/>
        </w:rPr>
        <w:t>Agreement</w:t>
      </w:r>
      <w:r>
        <w:rPr>
          <w:rFonts w:hint="eastAsia" w:eastAsia="宋体"/>
          <w:iCs/>
          <w:highlight w:val="green"/>
          <w:lang w:val="en-US" w:eastAsia="zh-CN"/>
        </w:rPr>
        <w:t xml:space="preserve"> </w:t>
      </w:r>
      <w:r>
        <w:rPr>
          <w:rFonts w:hint="default" w:cs="Times New Roman"/>
          <w:bCs w:val="0"/>
          <w:i w:val="0"/>
          <w:iCs/>
          <w:kern w:val="0"/>
          <w:sz w:val="20"/>
          <w:szCs w:val="20"/>
          <w:highlight w:val="green"/>
          <w:lang w:val="en-US" w:eastAsia="zh-CN"/>
        </w:rPr>
        <w:t xml:space="preserve">in </w:t>
      </w:r>
      <w:r>
        <w:rPr>
          <w:rFonts w:hint="default" w:eastAsia="Times New Roman"/>
          <w:iCs/>
          <w:highlight w:val="green"/>
          <w:lang w:val="en-US" w:eastAsia="zh-CN"/>
        </w:rPr>
        <w:t xml:space="preserve">RAN1 #106-e for </w:t>
      </w:r>
      <w:r>
        <w:rPr>
          <w:rFonts w:hint="default" w:cs="Times New Roman"/>
          <w:bCs w:val="0"/>
          <w:i w:val="0"/>
          <w:iCs/>
          <w:kern w:val="0"/>
          <w:sz w:val="20"/>
          <w:szCs w:val="20"/>
          <w:highlight w:val="green"/>
          <w:lang w:val="en-US" w:eastAsia="zh-CN"/>
        </w:rPr>
        <w:t>Rel-17 above 52.6GHz</w:t>
      </w:r>
      <w:r>
        <w:rPr>
          <w:rFonts w:hint="eastAsia" w:cs="Times New Roman"/>
          <w:bCs w:val="0"/>
          <w:i w:val="0"/>
          <w:iCs/>
          <w:kern w:val="0"/>
          <w:sz w:val="20"/>
          <w:szCs w:val="20"/>
          <w:highlight w:val="green"/>
          <w:lang w:val="en-US" w:eastAsia="zh-CN"/>
        </w:rPr>
        <w:t>:</w:t>
      </w:r>
    </w:p>
    <w:p>
      <w:pPr>
        <w:spacing w:after="0" w:line="252" w:lineRule="auto"/>
        <w:contextualSpacing/>
        <w:jc w:val="both"/>
        <w:rPr>
          <w:rFonts w:ascii="Times New Roman" w:hAnsi="Times New Roman" w:eastAsia="Gulim"/>
          <w:szCs w:val="20"/>
          <w:lang w:eastAsia="zh-CN"/>
        </w:rPr>
      </w:pPr>
      <w:r>
        <w:rPr>
          <w:rFonts w:ascii="Times New Roman" w:hAnsi="Times New Roman"/>
          <w:szCs w:val="20"/>
          <w:lang w:eastAsia="ko-KR"/>
        </w:rPr>
        <w:t>For NR FR2-2 at least for 480/960 kHz SCS, support 32 as the maximum number of HARQ processes for DL and UL, subject to UE capability.</w:t>
      </w:r>
    </w:p>
    <w:p>
      <w:pPr>
        <w:numPr>
          <w:ilvl w:val="0"/>
          <w:numId w:val="10"/>
        </w:numPr>
        <w:spacing w:after="0" w:line="252" w:lineRule="auto"/>
        <w:jc w:val="both"/>
        <w:rPr>
          <w:rFonts w:ascii="Times New Roman" w:hAnsi="Times New Roman"/>
          <w:szCs w:val="20"/>
          <w:lang w:eastAsia="ko-KR"/>
        </w:rPr>
      </w:pPr>
      <w:r>
        <w:rPr>
          <w:rFonts w:ascii="Times New Roman" w:hAnsi="Times New Roman"/>
          <w:szCs w:val="20"/>
          <w:lang w:eastAsia="ko-KR"/>
        </w:rPr>
        <w:t xml:space="preserve">Note: Up to 32 </w:t>
      </w:r>
      <w:r>
        <w:rPr>
          <w:rFonts w:cs="Times"/>
          <w:szCs w:val="20"/>
          <w:lang w:eastAsia="ko-KR"/>
        </w:rPr>
        <w:t>maximal supported HARQ process number is already agreed in Rel-17 NTN WI.</w:t>
      </w:r>
    </w:p>
    <w:p>
      <w:pPr>
        <w:numPr>
          <w:ilvl w:val="0"/>
          <w:numId w:val="10"/>
        </w:numPr>
        <w:adjustRightInd/>
        <w:snapToGrid/>
        <w:spacing w:after="137" w:afterLines="50" w:line="252" w:lineRule="auto"/>
        <w:ind w:left="726" w:hanging="363"/>
        <w:jc w:val="both"/>
        <w:rPr>
          <w:rFonts w:hint="default" w:eastAsia="宋体" w:cs="Times"/>
          <w:szCs w:val="20"/>
          <w:lang w:val="en-US" w:eastAsia="zh-CN"/>
        </w:rPr>
      </w:pPr>
      <w:r>
        <w:rPr>
          <w:rFonts w:cs="Times"/>
          <w:szCs w:val="20"/>
          <w:highlight w:val="darkYellow"/>
          <w:lang w:eastAsia="ko-KR"/>
        </w:rPr>
        <w:t>Working assumption:</w:t>
      </w:r>
      <w:r>
        <w:rPr>
          <w:rFonts w:cs="Times"/>
          <w:szCs w:val="20"/>
          <w:lang w:eastAsia="ko-KR"/>
        </w:rPr>
        <w:t xml:space="preserve"> The same solution to support up to 32 HARQ process number in Rel-17 NTN WI is reused for NR FR2-2.</w:t>
      </w:r>
    </w:p>
    <w:p>
      <w:pPr>
        <w:adjustRightInd w:val="0"/>
        <w:snapToGrid w:val="0"/>
        <w:spacing w:after="156" w:afterLines="50" w:line="260" w:lineRule="auto"/>
        <w:jc w:val="both"/>
        <w:rPr>
          <w:rFonts w:hint="eastAsia" w:cs="Times New Roman"/>
          <w:b/>
          <w:bCs w:val="0"/>
          <w:i w:val="0"/>
          <w:iCs/>
          <w:kern w:val="0"/>
          <w:sz w:val="20"/>
          <w:szCs w:val="20"/>
          <w:lang w:val="en-US" w:eastAsia="zh-CN"/>
        </w:rPr>
      </w:pPr>
      <w:r>
        <w:rPr>
          <w:rFonts w:hint="eastAsia" w:ascii="Times New Roman" w:hAnsi="Times New Roman" w:cs="Times New Roman"/>
          <w:b/>
          <w:bCs w:val="0"/>
          <w:i w:val="0"/>
          <w:iCs/>
          <w:kern w:val="0"/>
          <w:sz w:val="20"/>
          <w:szCs w:val="20"/>
          <w:highlight w:val="none"/>
          <w:lang w:val="en-GB"/>
        </w:rPr>
        <w:t>P</w:t>
      </w:r>
      <w:r>
        <w:rPr>
          <w:rFonts w:ascii="Times New Roman" w:hAnsi="Times New Roman" w:cs="Times New Roman"/>
          <w:b/>
          <w:bCs w:val="0"/>
          <w:i w:val="0"/>
          <w:iCs/>
          <w:kern w:val="0"/>
          <w:sz w:val="20"/>
          <w:szCs w:val="20"/>
          <w:highlight w:val="none"/>
          <w:lang w:val="en-GB"/>
        </w:rPr>
        <w:t>roposal</w:t>
      </w:r>
      <w:r>
        <w:rPr>
          <w:rFonts w:hint="eastAsia" w:ascii="Times New Roman" w:hAnsi="Times New Roman" w:eastAsia="宋体" w:cs="Times New Roman"/>
          <w:b/>
          <w:bCs w:val="0"/>
          <w:i w:val="0"/>
          <w:iCs/>
          <w:kern w:val="0"/>
          <w:sz w:val="20"/>
          <w:szCs w:val="20"/>
          <w:highlight w:val="none"/>
          <w:lang w:val="en-US" w:eastAsia="zh-CN"/>
        </w:rPr>
        <w:t xml:space="preserve"> 6</w:t>
      </w:r>
      <w:r>
        <w:rPr>
          <w:rFonts w:ascii="Times New Roman" w:hAnsi="Times New Roman" w:cs="Times New Roman"/>
          <w:b/>
          <w:bCs w:val="0"/>
          <w:i w:val="0"/>
          <w:iCs/>
          <w:kern w:val="0"/>
          <w:sz w:val="20"/>
          <w:szCs w:val="20"/>
          <w:lang w:val="en-GB"/>
        </w:rPr>
        <w:t xml:space="preserve">: </w:t>
      </w:r>
      <w:r>
        <w:rPr>
          <w:rFonts w:hint="eastAsia" w:cs="Times New Roman"/>
          <w:b/>
          <w:bCs w:val="0"/>
          <w:i w:val="0"/>
          <w:iCs/>
          <w:kern w:val="0"/>
          <w:sz w:val="20"/>
          <w:szCs w:val="20"/>
          <w:lang w:val="en-US" w:eastAsia="zh-CN"/>
        </w:rPr>
        <w:t>For NR FR2-2, extend the value range of K1 from (0..15) to (0..31).</w:t>
      </w:r>
    </w:p>
    <w:p>
      <w:pPr>
        <w:adjustRightInd w:val="0"/>
        <w:snapToGrid w:val="0"/>
        <w:spacing w:after="156" w:afterLines="50"/>
        <w:jc w:val="both"/>
        <w:rPr>
          <w:rFonts w:hint="eastAsia" w:ascii="Times New Roman" w:hAnsi="Times New Roman" w:eastAsia="宋体"/>
          <w:szCs w:val="20"/>
          <w:lang w:val="en-US" w:eastAsia="zh-CN"/>
        </w:rPr>
      </w:pPr>
      <w:r>
        <w:rPr>
          <w:rFonts w:hint="eastAsia" w:cs="Times New Roman"/>
          <w:bCs/>
          <w:i w:val="0"/>
          <w:iCs/>
          <w:kern w:val="0"/>
          <w:sz w:val="20"/>
          <w:szCs w:val="20"/>
          <w:highlight w:val="none"/>
          <w:lang w:val="en-US" w:eastAsia="zh-CN"/>
        </w:rPr>
        <w:t>For above 52.6GHz, the slot duration is reduced, for example, the slot duration of SCS=960kHz is 1/32 of the slot duration of SCS=30kHz. So given the T</w:t>
      </w:r>
      <w:r>
        <w:rPr>
          <w:rFonts w:hint="eastAsia" w:cs="Times New Roman"/>
          <w:bCs/>
          <w:i w:val="0"/>
          <w:iCs/>
          <w:kern w:val="0"/>
          <w:sz w:val="20"/>
          <w:szCs w:val="20"/>
          <w:highlight w:val="none"/>
          <w:vertAlign w:val="baseline"/>
          <w:lang w:val="en-US" w:eastAsia="zh-CN"/>
        </w:rPr>
        <w:t>proc,1</w:t>
      </w:r>
      <w:r>
        <w:rPr>
          <w:rFonts w:hint="eastAsia" w:cs="Times New Roman"/>
          <w:bCs/>
          <w:i w:val="0"/>
          <w:iCs/>
          <w:kern w:val="0"/>
          <w:sz w:val="20"/>
          <w:szCs w:val="20"/>
          <w:highlight w:val="none"/>
          <w:lang w:val="en-US" w:eastAsia="zh-CN"/>
        </w:rPr>
        <w:t xml:space="preserve"> as shown in Figure 2.2.4-1, which is equal to 2 slots when SCS is 120kHz, whilst corresponds to 16 slots for 960kHz SCS.</w:t>
      </w:r>
    </w:p>
    <w:p>
      <w:pPr>
        <w:adjustRightInd w:val="0"/>
        <w:snapToGrid w:val="0"/>
        <w:spacing w:after="156" w:afterLines="50"/>
        <w:jc w:val="both"/>
        <w:rPr>
          <w:rFonts w:hint="default" w:cs="Times New Roman"/>
          <w:bCs/>
          <w:i w:val="0"/>
          <w:iCs/>
          <w:kern w:val="0"/>
          <w:sz w:val="20"/>
          <w:szCs w:val="20"/>
          <w:highlight w:val="none"/>
          <w:lang w:val="en-US" w:eastAsia="zh-CN"/>
        </w:rPr>
      </w:pPr>
      <w:r>
        <w:rPr>
          <w:rFonts w:hint="eastAsia" w:eastAsia="宋体"/>
          <w:szCs w:val="20"/>
          <w:lang w:val="en-US" w:eastAsia="zh-CN"/>
        </w:rPr>
        <w:t xml:space="preserve">In FR2-2 </w:t>
      </w:r>
      <w:r>
        <w:rPr>
          <w:rFonts w:hint="eastAsia" w:ascii="Times New Roman" w:hAnsi="Times New Roman" w:eastAsia="宋体"/>
          <w:szCs w:val="20"/>
          <w:lang w:val="en-US" w:eastAsia="zh-CN"/>
        </w:rPr>
        <w:t>more PDSCH</w:t>
      </w:r>
      <w:r>
        <w:rPr>
          <w:rFonts w:hint="eastAsia" w:eastAsia="宋体"/>
          <w:szCs w:val="20"/>
          <w:lang w:val="en-US" w:eastAsia="zh-CN"/>
        </w:rPr>
        <w:t>s</w:t>
      </w:r>
      <w:r>
        <w:rPr>
          <w:rFonts w:hint="eastAsia" w:ascii="Times New Roman" w:hAnsi="Times New Roman" w:eastAsia="宋体"/>
          <w:szCs w:val="20"/>
          <w:lang w:val="en-US" w:eastAsia="zh-CN"/>
        </w:rPr>
        <w:t xml:space="preserve"> can be scheduled by multiple DCIs and HARQ-ACK feedback for all the PDSCHs can also be transmitted in same slot, which includes single DCI schedules single PDSCH and single DCI schedules multiple PDSCHs and each DCI indicates a </w:t>
      </w:r>
      <w:r>
        <w:rPr>
          <w:rFonts w:hint="eastAsia" w:eastAsia="宋体"/>
          <w:szCs w:val="20"/>
          <w:lang w:val="en-US" w:eastAsia="zh-CN"/>
        </w:rPr>
        <w:t>K1</w:t>
      </w:r>
      <w:r>
        <w:rPr>
          <w:rFonts w:hint="eastAsia" w:ascii="Times New Roman" w:hAnsi="Times New Roman" w:eastAsia="宋体"/>
          <w:szCs w:val="20"/>
          <w:lang w:val="en-US" w:eastAsia="zh-CN"/>
        </w:rPr>
        <w:t xml:space="preserve"> value by </w:t>
      </w:r>
      <w:r>
        <w:rPr>
          <w:rFonts w:hint="eastAsia" w:cs="Times New Roman"/>
          <w:bCs/>
          <w:i w:val="0"/>
          <w:iCs/>
          <w:kern w:val="0"/>
          <w:sz w:val="20"/>
          <w:szCs w:val="20"/>
          <w:highlight w:val="none"/>
          <w:lang w:val="en-US" w:eastAsia="zh-CN"/>
        </w:rPr>
        <w:t>PDSCH-to-HARQ feedback timing indicator field. For example, in Figure 2.2.4-1, HARQ-ACK for 19 PDSCHs scheduled by 9 DCIs is transmitted in the same UL slot and 9 different K1 values are needed. If single DCI scheduled single PDSCH is applied in Figure 2.2.4-1, more different K1 values are needed and enhancement of DCI should be introduced at least for 480/960 kHz SCS for FR2-2, e.g. increase the PDSCH-to-HARQ_feedback timing indicator field to 4 or 5 bits.</w:t>
      </w:r>
    </w:p>
    <w:p>
      <w:pPr>
        <w:adjustRightInd w:val="0"/>
        <w:snapToGrid w:val="0"/>
        <w:spacing w:after="0" w:afterLines="0" w:line="260" w:lineRule="auto"/>
        <w:jc w:val="center"/>
        <w:rPr>
          <w:rFonts w:hint="default"/>
          <w:sz w:val="21"/>
        </w:rPr>
      </w:pPr>
      <w:r>
        <w:rPr>
          <w:rFonts w:hint="default" w:eastAsia="Times New Roman"/>
          <w:sz w:val="21"/>
        </w:rPr>
        <w:object>
          <v:shape id="_x0000_i1025" o:spt="75" type="#_x0000_t75" style="height:60.35pt;width:467.7pt;" o:ole="t" filled="f" o:preferrelative="t" stroked="f" coordsize="21600,21600">
            <v:path/>
            <v:fill on="f" focussize="0,0"/>
            <v:stroke on="f"/>
            <v:imagedata r:id="rId8" cropbottom="22049f" o:title=""/>
            <o:lock v:ext="edit" aspectratio="t"/>
            <w10:wrap type="none"/>
            <w10:anchorlock/>
          </v:shape>
          <o:OLEObject Type="Embed" ProgID="Visio.Drawing.11" ShapeID="_x0000_i1025" DrawAspect="Content" ObjectID="_1468075725" r:id="rId7">
            <o:LockedField>false</o:LockedField>
          </o:OLEObject>
        </w:object>
      </w:r>
    </w:p>
    <w:p>
      <w:pPr>
        <w:adjustRightInd/>
        <w:snapToGrid/>
        <w:spacing w:after="137" w:afterLines="50" w:line="260" w:lineRule="auto"/>
        <w:jc w:val="center"/>
        <w:rPr>
          <w:rFonts w:hint="default"/>
          <w:sz w:val="21"/>
          <w:lang w:val="en-US" w:eastAsia="zh-CN"/>
        </w:rPr>
      </w:pPr>
      <w:r>
        <w:rPr>
          <w:rFonts w:hint="eastAsia" w:ascii="Times New Roman" w:hAnsi="Times New Roman" w:eastAsia="Times New Roman" w:cs="Times New Roman"/>
          <w:b/>
          <w:bCs/>
          <w:strike w:val="0"/>
          <w:lang w:val="en-US" w:eastAsia="zh-CN"/>
        </w:rPr>
        <w:t>Figure 2</w:t>
      </w:r>
      <w:r>
        <w:rPr>
          <w:rFonts w:hint="eastAsia" w:cs="Times New Roman"/>
          <w:b/>
          <w:bCs/>
          <w:strike w:val="0"/>
          <w:lang w:val="en-US" w:eastAsia="zh-CN"/>
        </w:rPr>
        <w:t>.2.4-1</w:t>
      </w:r>
      <w:r>
        <w:rPr>
          <w:rFonts w:hint="eastAsia" w:ascii="Times New Roman" w:hAnsi="Times New Roman" w:eastAsia="Times New Roman" w:cs="Times New Roman"/>
          <w:b/>
          <w:bCs/>
          <w:strike w:val="0"/>
          <w:lang w:val="en-US" w:eastAsia="zh-CN"/>
        </w:rPr>
        <w:t xml:space="preserve"> HARQ feedback for FR2-2</w:t>
      </w:r>
    </w:p>
    <w:p>
      <w:pPr>
        <w:adjustRightInd w:val="0"/>
        <w:snapToGrid w:val="0"/>
        <w:spacing w:after="156" w:afterLines="50"/>
        <w:jc w:val="both"/>
        <w:rPr>
          <w:rFonts w:hint="eastAsia" w:cs="Times New Roman"/>
          <w:bCs/>
          <w:i w:val="0"/>
          <w:iCs/>
          <w:kern w:val="0"/>
          <w:sz w:val="20"/>
          <w:szCs w:val="20"/>
          <w:lang w:val="en-US" w:eastAsia="zh-CN"/>
        </w:rPr>
      </w:pPr>
      <w:r>
        <w:rPr>
          <w:rFonts w:hint="eastAsia" w:cs="Times New Roman"/>
          <w:bCs/>
          <w:i w:val="0"/>
          <w:iCs/>
          <w:kern w:val="0"/>
          <w:sz w:val="20"/>
          <w:szCs w:val="20"/>
          <w:lang w:val="en-US" w:eastAsia="zh-CN"/>
        </w:rPr>
        <w:t xml:space="preserve">In brief, at least for some cases when SCS is 960/480 kHz, currently 8 K1 candidates indicated via DCI is not sufficient for the HARQ-ACK feedback to up to 32 HARQ processes of DL transmission. So it is necessary to enhance the indication of K1. </w:t>
      </w:r>
    </w:p>
    <w:p>
      <w:pPr>
        <w:adjustRightInd w:val="0"/>
        <w:snapToGrid w:val="0"/>
        <w:spacing w:after="156" w:afterLines="50"/>
        <w:jc w:val="both"/>
        <w:rPr>
          <w:rFonts w:hint="eastAsia" w:cs="Times New Roman"/>
          <w:bCs/>
          <w:i w:val="0"/>
          <w:iCs/>
          <w:kern w:val="0"/>
          <w:sz w:val="20"/>
          <w:szCs w:val="20"/>
          <w:lang w:val="en-US" w:eastAsia="zh-CN"/>
        </w:rPr>
      </w:pPr>
      <w:r>
        <w:rPr>
          <w:rFonts w:hint="eastAsia" w:cs="Times New Roman"/>
          <w:bCs/>
          <w:i w:val="0"/>
          <w:iCs/>
          <w:kern w:val="0"/>
          <w:sz w:val="20"/>
          <w:szCs w:val="20"/>
          <w:lang w:val="en-US" w:eastAsia="zh-CN"/>
        </w:rPr>
        <w:t xml:space="preserve">In additional, for keeping the size of DCI bit field, re-interpreting the bit field can also be considered to increase more K1 values indication. </w:t>
      </w:r>
    </w:p>
    <w:p>
      <w:pPr>
        <w:adjustRightInd w:val="0"/>
        <w:snapToGrid w:val="0"/>
        <w:spacing w:before="156" w:beforeLines="50" w:after="156" w:afterLines="50"/>
        <w:rPr>
          <w:rFonts w:hint="eastAsia" w:ascii="Times New Roman" w:hAnsi="Times New Roman" w:eastAsia="宋体" w:cs="Times New Roman"/>
          <w:b/>
          <w:bCs w:val="0"/>
          <w:i w:val="0"/>
          <w:iCs/>
          <w:kern w:val="0"/>
          <w:sz w:val="20"/>
          <w:szCs w:val="20"/>
          <w:lang w:val="en-US" w:eastAsia="zh-CN"/>
        </w:rPr>
      </w:pPr>
      <w:r>
        <w:rPr>
          <w:rFonts w:hint="eastAsia" w:ascii="Times New Roman" w:hAnsi="Times New Roman" w:cs="Times New Roman"/>
          <w:b/>
          <w:bCs w:val="0"/>
          <w:i w:val="0"/>
          <w:iCs/>
          <w:kern w:val="0"/>
          <w:sz w:val="20"/>
          <w:szCs w:val="20"/>
          <w:lang w:val="en-GB"/>
        </w:rPr>
        <w:t>P</w:t>
      </w:r>
      <w:r>
        <w:rPr>
          <w:rFonts w:ascii="Times New Roman" w:hAnsi="Times New Roman" w:cs="Times New Roman"/>
          <w:b/>
          <w:bCs w:val="0"/>
          <w:i w:val="0"/>
          <w:iCs/>
          <w:kern w:val="0"/>
          <w:sz w:val="20"/>
          <w:szCs w:val="20"/>
          <w:lang w:val="en-GB"/>
        </w:rPr>
        <w:t xml:space="preserve">roposal </w:t>
      </w:r>
      <w:r>
        <w:rPr>
          <w:rFonts w:hint="eastAsia" w:ascii="Times New Roman" w:hAnsi="Times New Roman" w:eastAsia="宋体" w:cs="Times New Roman"/>
          <w:b/>
          <w:bCs w:val="0"/>
          <w:i w:val="0"/>
          <w:iCs/>
          <w:kern w:val="0"/>
          <w:sz w:val="20"/>
          <w:szCs w:val="20"/>
          <w:lang w:val="en-US" w:eastAsia="zh-CN"/>
        </w:rPr>
        <w:t>7</w:t>
      </w:r>
      <w:r>
        <w:rPr>
          <w:rFonts w:ascii="Times New Roman" w:hAnsi="Times New Roman" w:cs="Times New Roman"/>
          <w:b/>
          <w:bCs w:val="0"/>
          <w:i w:val="0"/>
          <w:iCs/>
          <w:kern w:val="0"/>
          <w:sz w:val="20"/>
          <w:szCs w:val="20"/>
          <w:lang w:val="en-GB"/>
        </w:rPr>
        <w:t xml:space="preserve">: </w:t>
      </w:r>
      <w:r>
        <w:rPr>
          <w:rFonts w:hint="default" w:ascii="Times New Roman" w:hAnsi="Times New Roman" w:cs="Times New Roman"/>
          <w:b/>
          <w:bCs w:val="0"/>
          <w:i w:val="0"/>
          <w:iCs/>
          <w:kern w:val="0"/>
          <w:sz w:val="20"/>
          <w:szCs w:val="20"/>
          <w:lang w:val="en-GB" w:eastAsia="zh-CN"/>
        </w:rPr>
        <w:t>For NR FR2-2</w:t>
      </w:r>
      <w:r>
        <w:rPr>
          <w:rFonts w:hint="eastAsia" w:ascii="Times New Roman" w:hAnsi="Times New Roman" w:cs="Times New Roman"/>
          <w:b/>
          <w:bCs w:val="0"/>
          <w:i w:val="0"/>
          <w:iCs/>
          <w:kern w:val="0"/>
          <w:sz w:val="20"/>
          <w:szCs w:val="20"/>
          <w:lang w:val="en-US" w:eastAsia="zh-CN"/>
        </w:rPr>
        <w:t>,</w:t>
      </w:r>
      <w:r>
        <w:rPr>
          <w:rFonts w:hint="eastAsia" w:cs="Times New Roman"/>
          <w:b/>
          <w:bCs w:val="0"/>
          <w:i w:val="0"/>
          <w:iCs/>
          <w:kern w:val="0"/>
          <w:sz w:val="20"/>
          <w:szCs w:val="20"/>
          <w:lang w:val="en-US" w:eastAsia="zh-CN"/>
        </w:rPr>
        <w:t xml:space="preserve"> at least for 480/960 kHz SCS</w:t>
      </w:r>
      <w:r>
        <w:rPr>
          <w:rFonts w:ascii="Times New Roman" w:hAnsi="Times New Roman" w:cs="Times New Roman"/>
          <w:b/>
          <w:bCs w:val="0"/>
          <w:i w:val="0"/>
          <w:iCs/>
          <w:kern w:val="0"/>
          <w:sz w:val="20"/>
          <w:szCs w:val="20"/>
          <w:lang w:val="en-GB" w:eastAsia="en-US"/>
        </w:rPr>
        <w:t xml:space="preserve">, </w:t>
      </w:r>
      <w:r>
        <w:rPr>
          <w:rFonts w:hint="eastAsia" w:ascii="Times New Roman" w:hAnsi="Times New Roman" w:cs="Times New Roman"/>
          <w:b/>
          <w:bCs w:val="0"/>
          <w:i w:val="0"/>
          <w:iCs/>
          <w:kern w:val="0"/>
          <w:sz w:val="20"/>
          <w:szCs w:val="20"/>
          <w:lang w:val="en-US" w:eastAsia="en-US"/>
        </w:rPr>
        <w:t>increas</w:t>
      </w:r>
      <w:r>
        <w:rPr>
          <w:rFonts w:hint="eastAsia" w:cs="Times New Roman"/>
          <w:b/>
          <w:bCs w:val="0"/>
          <w:i w:val="0"/>
          <w:iCs/>
          <w:kern w:val="0"/>
          <w:sz w:val="20"/>
          <w:szCs w:val="20"/>
          <w:lang w:val="en-US" w:eastAsia="zh-CN"/>
        </w:rPr>
        <w:t>ing</w:t>
      </w:r>
      <w:r>
        <w:rPr>
          <w:rFonts w:hint="eastAsia" w:ascii="Times New Roman" w:hAnsi="Times New Roman" w:cs="Times New Roman"/>
          <w:b/>
          <w:bCs w:val="0"/>
          <w:i w:val="0"/>
          <w:iCs/>
          <w:kern w:val="0"/>
          <w:sz w:val="20"/>
          <w:szCs w:val="20"/>
          <w:lang w:val="en-US" w:eastAsia="en-US"/>
        </w:rPr>
        <w:t xml:space="preserve"> the PDSCH-to-HARQ_feedback timing indicator field to 4 or 5 bits</w:t>
      </w:r>
      <w:r>
        <w:rPr>
          <w:rFonts w:hint="eastAsia" w:ascii="Times New Roman" w:hAnsi="Times New Roman" w:cs="Times New Roman"/>
          <w:b/>
          <w:bCs w:val="0"/>
          <w:i w:val="0"/>
          <w:iCs/>
          <w:kern w:val="0"/>
          <w:sz w:val="20"/>
          <w:szCs w:val="20"/>
        </w:rPr>
        <w:t xml:space="preserve"> should be </w:t>
      </w:r>
      <w:r>
        <w:rPr>
          <w:rFonts w:ascii="Times New Roman" w:hAnsi="Times New Roman" w:cs="Times New Roman"/>
          <w:b/>
          <w:bCs w:val="0"/>
          <w:i w:val="0"/>
          <w:iCs/>
          <w:kern w:val="0"/>
          <w:sz w:val="20"/>
          <w:szCs w:val="20"/>
        </w:rPr>
        <w:t>supported</w:t>
      </w:r>
      <w:r>
        <w:rPr>
          <w:rFonts w:hint="eastAsia" w:ascii="Times New Roman" w:hAnsi="Times New Roman" w:cs="Times New Roman"/>
          <w:b/>
          <w:bCs w:val="0"/>
          <w:i w:val="0"/>
          <w:iCs/>
          <w:kern w:val="0"/>
          <w:sz w:val="20"/>
          <w:szCs w:val="20"/>
          <w:lang w:val="en-US" w:eastAsia="zh-CN"/>
        </w:rPr>
        <w:t>.</w:t>
      </w:r>
    </w:p>
    <w:p>
      <w:pPr>
        <w:pStyle w:val="3"/>
        <w:rPr>
          <w:lang w:val="en-US" w:eastAsia="zh-CN"/>
        </w:rPr>
      </w:pPr>
      <w:r>
        <w:rPr>
          <w:rFonts w:hint="eastAsia"/>
          <w:lang w:val="en-US" w:eastAsia="zh-CN"/>
        </w:rPr>
        <w:t xml:space="preserve"> Timing related</w:t>
      </w:r>
    </w:p>
    <w:p>
      <w:pPr>
        <w:pStyle w:val="4"/>
        <w:rPr>
          <w:lang w:val="en-US" w:eastAsia="zh-CN"/>
        </w:rPr>
      </w:pPr>
      <w:r>
        <w:rPr>
          <w:rFonts w:hint="eastAsia"/>
          <w:lang w:val="en-US" w:eastAsia="zh-CN"/>
        </w:rPr>
        <w:t xml:space="preserve"> N1/N2/N3 </w:t>
      </w:r>
    </w:p>
    <w:p>
      <w:pPr>
        <w:pStyle w:val="51"/>
        <w:spacing w:before="180"/>
        <w:ind w:left="0" w:firstLine="0"/>
        <w:jc w:val="both"/>
        <w:rPr>
          <w:rFonts w:hint="eastAsia"/>
          <w:lang w:val="en-US" w:eastAsia="zh-CN"/>
        </w:rPr>
      </w:pPr>
      <w:r>
        <w:rPr>
          <w:rFonts w:hint="eastAsia"/>
          <w:lang w:val="en-US" w:eastAsia="zh-CN"/>
        </w:rPr>
        <w:t>In RAN1 #106-e meeting, an agreement about N1/N2/N3 was reached:</w:t>
      </w:r>
    </w:p>
    <w:p>
      <w:pPr>
        <w:rPr>
          <w:iCs/>
          <w:lang w:eastAsia="zh-CN"/>
        </w:rPr>
      </w:pPr>
      <w:r>
        <w:rPr>
          <w:iCs/>
          <w:highlight w:val="green"/>
          <w:lang w:eastAsia="zh-CN"/>
        </w:rPr>
        <w:t>Agreement:</w:t>
      </w:r>
    </w:p>
    <w:p>
      <w:pPr>
        <w:rPr>
          <w:rFonts w:cs="Times"/>
        </w:rPr>
      </w:pPr>
      <w:r>
        <w:rPr>
          <w:rFonts w:cs="Times"/>
        </w:rPr>
        <w:t>For NR operation with 480 and 960 kHz SCS, adopt at least the values of N1, N2 and N3 as in the following tables for</w:t>
      </w:r>
      <w:r>
        <w:rPr>
          <w:rFonts w:cs="Times"/>
          <w:color w:val="auto"/>
        </w:rPr>
        <w:t xml:space="preserve"> single and multi-PDSCH/PUSCH scheduling.</w:t>
      </w:r>
    </w:p>
    <w:p>
      <w:pPr>
        <w:pStyle w:val="132"/>
        <w:numPr>
          <w:ilvl w:val="0"/>
          <w:numId w:val="14"/>
        </w:numPr>
        <w:overflowPunct/>
        <w:autoSpaceDE/>
        <w:autoSpaceDN/>
        <w:adjustRightInd/>
        <w:spacing w:after="0" w:line="259" w:lineRule="auto"/>
        <w:contextualSpacing w:val="0"/>
        <w:textAlignment w:val="auto"/>
        <w:rPr>
          <w:rFonts w:cs="Times"/>
        </w:rPr>
      </w:pPr>
      <w:r>
        <w:rPr>
          <w:rFonts w:cs="Times"/>
        </w:rPr>
        <w:t>Note: N1/N2 applies to any PDSCH/PUSCH for multi-PDSCH/PUSCH scheduling</w:t>
      </w:r>
    </w:p>
    <w:p>
      <w:pPr>
        <w:pStyle w:val="132"/>
        <w:numPr>
          <w:ilvl w:val="0"/>
          <w:numId w:val="14"/>
        </w:numPr>
        <w:overflowPunct/>
        <w:autoSpaceDE/>
        <w:autoSpaceDN/>
        <w:adjustRightInd/>
        <w:spacing w:after="0" w:line="259" w:lineRule="auto"/>
        <w:contextualSpacing w:val="0"/>
        <w:textAlignment w:val="auto"/>
        <w:rPr>
          <w:rFonts w:cs="Times"/>
        </w:rPr>
      </w:pPr>
      <w:r>
        <w:rPr>
          <w:rFonts w:cs="Times"/>
        </w:rPr>
        <w:t xml:space="preserve">RAN1 to study (until RAN1#106b-e) </w:t>
      </w:r>
      <w:r>
        <w:rPr>
          <w:rFonts w:cs="Times"/>
          <w:color w:val="auto"/>
        </w:rPr>
        <w:t>and possibly introduce smaller values</w:t>
      </w:r>
      <w:r>
        <w:rPr>
          <w:rFonts w:cs="Times"/>
        </w:rPr>
        <w:t xml:space="preserve"> considering at least the following factors</w:t>
      </w:r>
    </w:p>
    <w:p>
      <w:pPr>
        <w:pStyle w:val="132"/>
        <w:numPr>
          <w:ilvl w:val="1"/>
          <w:numId w:val="14"/>
        </w:numPr>
        <w:overflowPunct/>
        <w:autoSpaceDE/>
        <w:autoSpaceDN/>
        <w:adjustRightInd/>
        <w:spacing w:after="0" w:line="259" w:lineRule="auto"/>
        <w:contextualSpacing w:val="0"/>
        <w:textAlignment w:val="auto"/>
        <w:rPr>
          <w:rFonts w:cs="Times"/>
        </w:rPr>
      </w:pPr>
      <w:r>
        <w:rPr>
          <w:rFonts w:cs="Times"/>
        </w:rPr>
        <w:t>PDCCH monitoring capability</w:t>
      </w:r>
    </w:p>
    <w:p>
      <w:pPr>
        <w:pStyle w:val="132"/>
        <w:numPr>
          <w:ilvl w:val="1"/>
          <w:numId w:val="14"/>
        </w:numPr>
        <w:overflowPunct/>
        <w:autoSpaceDE/>
        <w:autoSpaceDN/>
        <w:adjustRightInd/>
        <w:spacing w:after="0" w:line="259" w:lineRule="auto"/>
        <w:contextualSpacing w:val="0"/>
        <w:textAlignment w:val="auto"/>
        <w:rPr>
          <w:rFonts w:cs="Times"/>
        </w:rPr>
      </w:pPr>
      <w:r>
        <w:rPr>
          <w:rFonts w:cs="Times"/>
        </w:rPr>
        <w:t>Mix numerology scheduling</w:t>
      </w:r>
    </w:p>
    <w:p>
      <w:pPr>
        <w:pStyle w:val="132"/>
        <w:numPr>
          <w:ilvl w:val="1"/>
          <w:numId w:val="14"/>
        </w:numPr>
        <w:overflowPunct/>
        <w:autoSpaceDE/>
        <w:autoSpaceDN/>
        <w:adjustRightInd/>
        <w:spacing w:after="0" w:line="259" w:lineRule="auto"/>
        <w:contextualSpacing w:val="0"/>
        <w:textAlignment w:val="auto"/>
        <w:rPr>
          <w:rFonts w:cs="Times"/>
        </w:rPr>
      </w:pPr>
      <w:r>
        <w:rPr>
          <w:rFonts w:cs="Times"/>
        </w:rPr>
        <w:t>Multi-PDSCH/PUSCH scheduling</w:t>
      </w:r>
    </w:p>
    <w:p>
      <w:pPr>
        <w:pStyle w:val="132"/>
        <w:numPr>
          <w:ilvl w:val="1"/>
          <w:numId w:val="14"/>
        </w:numPr>
        <w:overflowPunct/>
        <w:autoSpaceDE/>
        <w:autoSpaceDN/>
        <w:adjustRightInd/>
        <w:spacing w:after="0" w:line="259" w:lineRule="auto"/>
        <w:contextualSpacing w:val="0"/>
        <w:textAlignment w:val="auto"/>
        <w:rPr>
          <w:rFonts w:cs="Times"/>
        </w:rPr>
      </w:pPr>
      <w:r>
        <w:rPr>
          <w:rFonts w:cs="Times"/>
        </w:rPr>
        <w:t>Cross-carrier scheduling</w:t>
      </w:r>
    </w:p>
    <w:p>
      <w:pPr>
        <w:pStyle w:val="132"/>
        <w:numPr>
          <w:ilvl w:val="0"/>
          <w:numId w:val="14"/>
        </w:numPr>
        <w:overflowPunct/>
        <w:autoSpaceDE/>
        <w:autoSpaceDN/>
        <w:adjustRightInd/>
        <w:spacing w:after="0" w:line="259" w:lineRule="auto"/>
        <w:contextualSpacing w:val="0"/>
        <w:textAlignment w:val="auto"/>
        <w:rPr>
          <w:rFonts w:cs="Times"/>
        </w:rPr>
      </w:pPr>
      <w:r>
        <w:rPr>
          <w:rFonts w:cs="Times"/>
        </w:rPr>
        <w:t>Note: The decision for the number of HARQ processes should take this agreement into account.</w:t>
      </w:r>
    </w:p>
    <w:p>
      <w:pPr>
        <w:pStyle w:val="14"/>
        <w:ind w:left="933" w:firstLine="219"/>
        <w:jc w:val="center"/>
        <w:rPr>
          <w:b w:val="0"/>
        </w:rPr>
      </w:pPr>
      <w:r>
        <w:rPr>
          <w:b w:val="0"/>
        </w:rPr>
        <w:t>Table 2-2.1 PDSCH processing time arrange for PDSCH processing capability 1</w:t>
      </w:r>
    </w:p>
    <w:tbl>
      <w:tblPr>
        <w:tblStyle w:val="25"/>
        <w:tblW w:w="98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5"/>
        <w:gridCol w:w="4590"/>
        <w:gridCol w:w="40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5" w:type="dxa"/>
            <w:vMerge w:val="restart"/>
            <w:shd w:val="clear" w:color="auto" w:fill="auto"/>
            <w:vAlign w:val="center"/>
          </w:tcPr>
          <w:p>
            <w:pPr>
              <w:pStyle w:val="47"/>
              <w:rPr>
                <w:rFonts w:ascii="Times New Roman" w:hAnsi="Times New Roman" w:eastAsia="Batang"/>
                <w:color w:val="000000"/>
                <w:sz w:val="16"/>
                <w:szCs w:val="16"/>
              </w:rPr>
            </w:pPr>
            <w:r>
              <w:rPr>
                <w:rFonts w:ascii="Times New Roman" w:hAnsi="Times New Roman" w:eastAsia="Batang"/>
                <w:color w:val="000000"/>
                <w:position w:val="-8"/>
                <w:sz w:val="16"/>
                <w:szCs w:val="16"/>
              </w:rPr>
              <w:object>
                <v:shape id="_x0000_i1026" o:spt="75" type="#_x0000_t75" style="height:14.25pt;width:14.25pt;" o:ole="t" filled="f" o:preferrelative="t" stroked="f" coordsize="21600,21600">
                  <v:path/>
                  <v:fill on="f" focussize="0,0"/>
                  <v:stroke on="f" joinstyle="miter"/>
                  <v:imagedata r:id="rId10" o:title=""/>
                  <o:lock v:ext="edit" aspectratio="t"/>
                  <w10:wrap type="none"/>
                  <w10:anchorlock/>
                </v:shape>
                <o:OLEObject Type="Embed" ProgID="Equation.3" ShapeID="_x0000_i1026" DrawAspect="Content" ObjectID="_1468075726" r:id="rId9">
                  <o:LockedField>false</o:LockedField>
                </o:OLEObject>
              </w:object>
            </w:r>
          </w:p>
        </w:tc>
        <w:tc>
          <w:tcPr>
            <w:tcW w:w="8666" w:type="dxa"/>
            <w:gridSpan w:val="2"/>
            <w:shd w:val="clear" w:color="auto" w:fill="auto"/>
          </w:tcPr>
          <w:p>
            <w:pPr>
              <w:pStyle w:val="47"/>
              <w:rPr>
                <w:rFonts w:ascii="Times New Roman" w:hAnsi="Times New Roman" w:eastAsia="Batang"/>
                <w:b w:val="0"/>
                <w:color w:val="000000"/>
                <w:sz w:val="16"/>
                <w:szCs w:val="16"/>
              </w:rPr>
            </w:pPr>
            <w:r>
              <w:rPr>
                <w:rFonts w:ascii="Times New Roman" w:hAnsi="Times New Roman" w:eastAsia="Batang"/>
                <w:b w:val="0"/>
                <w:color w:val="000000"/>
                <w:sz w:val="16"/>
                <w:szCs w:val="16"/>
              </w:rPr>
              <w:t xml:space="preserve">PDSCH decoding time </w:t>
            </w:r>
            <w:r>
              <w:rPr>
                <w:rFonts w:ascii="Times New Roman" w:hAnsi="Times New Roman" w:eastAsia="Batang"/>
                <w:b w:val="0"/>
                <w:i/>
                <w:color w:val="000000"/>
                <w:sz w:val="16"/>
                <w:szCs w:val="16"/>
              </w:rPr>
              <w:t>N</w:t>
            </w:r>
            <w:r>
              <w:rPr>
                <w:rFonts w:ascii="Times New Roman" w:hAnsi="Times New Roman" w:eastAsia="Batang"/>
                <w:b w:val="0"/>
                <w:i/>
                <w:color w:val="000000"/>
                <w:sz w:val="16"/>
                <w:szCs w:val="16"/>
                <w:vertAlign w:val="subscript"/>
              </w:rPr>
              <w:t>1</w:t>
            </w:r>
            <w:r>
              <w:rPr>
                <w:rFonts w:ascii="Times New Roman" w:hAnsi="Times New Roman" w:eastAsia="Batang"/>
                <w:b w:val="0"/>
                <w:color w:val="000000"/>
                <w:sz w:val="16"/>
                <w:szCs w:val="16"/>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5" w:type="dxa"/>
            <w:vMerge w:val="continue"/>
            <w:shd w:val="clear" w:color="auto" w:fill="auto"/>
          </w:tcPr>
          <w:p>
            <w:pPr>
              <w:pStyle w:val="47"/>
              <w:rPr>
                <w:rFonts w:ascii="Times New Roman" w:hAnsi="Times New Roman" w:eastAsia="Batang"/>
                <w:color w:val="000000"/>
                <w:sz w:val="16"/>
                <w:szCs w:val="16"/>
              </w:rPr>
            </w:pPr>
          </w:p>
        </w:tc>
        <w:tc>
          <w:tcPr>
            <w:tcW w:w="4590" w:type="dxa"/>
            <w:shd w:val="clear" w:color="auto" w:fill="auto"/>
          </w:tcPr>
          <w:p>
            <w:pPr>
              <w:pStyle w:val="47"/>
              <w:rPr>
                <w:rFonts w:ascii="Times New Roman" w:hAnsi="Times New Roman" w:eastAsia="Batang"/>
                <w:b w:val="0"/>
                <w:color w:val="000000"/>
                <w:sz w:val="16"/>
                <w:szCs w:val="16"/>
              </w:rPr>
            </w:pPr>
            <w:r>
              <w:rPr>
                <w:rFonts w:ascii="Times New Roman" w:hAnsi="Times New Roman" w:eastAsia="Batang"/>
                <w:b w:val="0"/>
                <w:i/>
                <w:color w:val="000000"/>
                <w:sz w:val="16"/>
                <w:szCs w:val="16"/>
              </w:rPr>
              <w:t xml:space="preserve">dmrs-AdditionalPosition </w:t>
            </w:r>
            <w:r>
              <w:rPr>
                <w:rFonts w:ascii="Times New Roman" w:hAnsi="Times New Roman" w:eastAsia="Batang"/>
                <w:b w:val="0"/>
                <w:color w:val="000000"/>
                <w:sz w:val="16"/>
                <w:szCs w:val="16"/>
              </w:rPr>
              <w:t xml:space="preserve">= pos0 in </w:t>
            </w:r>
            <w:r>
              <w:rPr>
                <w:rFonts w:ascii="Times New Roman" w:hAnsi="Times New Roman" w:eastAsia="Batang"/>
                <w:b w:val="0"/>
                <w:color w:val="000000"/>
                <w:sz w:val="16"/>
                <w:szCs w:val="16"/>
              </w:rPr>
              <w:br w:type="textWrapping"/>
            </w:r>
            <w:r>
              <w:rPr>
                <w:rFonts w:ascii="Times New Roman" w:hAnsi="Times New Roman" w:eastAsia="Batang"/>
                <w:b w:val="0"/>
                <w:i/>
                <w:color w:val="000000"/>
                <w:sz w:val="16"/>
                <w:szCs w:val="16"/>
              </w:rPr>
              <w:t xml:space="preserve">DMRS-DownlinkConfig </w:t>
            </w:r>
            <w:r>
              <w:rPr>
                <w:rFonts w:ascii="Times New Roman" w:hAnsi="Times New Roman" w:eastAsia="Batang"/>
                <w:b w:val="0"/>
                <w:color w:val="000000"/>
                <w:sz w:val="16"/>
                <w:szCs w:val="16"/>
              </w:rPr>
              <w:t xml:space="preserve">in both of </w:t>
            </w:r>
            <w:r>
              <w:rPr>
                <w:rFonts w:ascii="Times New Roman" w:hAnsi="Times New Roman" w:eastAsia="Batang"/>
                <w:b w:val="0"/>
                <w:color w:val="000000"/>
                <w:sz w:val="16"/>
                <w:szCs w:val="16"/>
              </w:rPr>
              <w:br w:type="textWrapping"/>
            </w:r>
            <w:r>
              <w:rPr>
                <w:rFonts w:ascii="Times New Roman" w:hAnsi="Times New Roman"/>
                <w:b w:val="0"/>
                <w:i/>
                <w:sz w:val="16"/>
                <w:szCs w:val="16"/>
              </w:rPr>
              <w:t>dmrs-DownlinkForPDSCH-MappingTypeA</w:t>
            </w:r>
            <w:r>
              <w:rPr>
                <w:rFonts w:ascii="Times New Roman" w:hAnsi="Times New Roman"/>
                <w:b w:val="0"/>
                <w:sz w:val="16"/>
                <w:szCs w:val="16"/>
              </w:rPr>
              <w:t xml:space="preserve">, </w:t>
            </w:r>
            <w:r>
              <w:rPr>
                <w:rFonts w:ascii="Times New Roman" w:hAnsi="Times New Roman"/>
                <w:b w:val="0"/>
                <w:i/>
                <w:sz w:val="16"/>
                <w:szCs w:val="16"/>
              </w:rPr>
              <w:t>dmrs-DownlinkForPDSCH-MappingTypeB</w:t>
            </w:r>
          </w:p>
        </w:tc>
        <w:tc>
          <w:tcPr>
            <w:tcW w:w="4076" w:type="dxa"/>
          </w:tcPr>
          <w:p>
            <w:pPr>
              <w:pStyle w:val="47"/>
              <w:rPr>
                <w:rFonts w:ascii="Times New Roman" w:hAnsi="Times New Roman" w:eastAsia="Batang"/>
                <w:b w:val="0"/>
                <w:i/>
                <w:color w:val="000000"/>
                <w:sz w:val="16"/>
                <w:szCs w:val="16"/>
              </w:rPr>
            </w:pPr>
            <w:r>
              <w:rPr>
                <w:rFonts w:ascii="Times New Roman" w:hAnsi="Times New Roman" w:eastAsia="Batang"/>
                <w:b w:val="0"/>
                <w:i/>
                <w:color w:val="000000"/>
                <w:sz w:val="16"/>
                <w:szCs w:val="16"/>
              </w:rPr>
              <w:t xml:space="preserve">dmrs-AdditionalPosition </w:t>
            </w:r>
            <w:r>
              <w:rPr>
                <w:rFonts w:ascii="Times New Roman" w:hAnsi="Times New Roman" w:eastAsia="Batang"/>
                <w:b w:val="0"/>
                <w:color w:val="000000"/>
                <w:sz w:val="16"/>
                <w:szCs w:val="16"/>
              </w:rPr>
              <w:t xml:space="preserve">≠ pos0 in </w:t>
            </w:r>
            <w:r>
              <w:rPr>
                <w:rFonts w:ascii="Times New Roman" w:hAnsi="Times New Roman" w:eastAsia="Batang"/>
                <w:b w:val="0"/>
                <w:color w:val="000000"/>
                <w:sz w:val="16"/>
                <w:szCs w:val="16"/>
              </w:rPr>
              <w:br w:type="textWrapping"/>
            </w:r>
            <w:r>
              <w:rPr>
                <w:rFonts w:ascii="Times New Roman" w:hAnsi="Times New Roman" w:eastAsia="Batang"/>
                <w:b w:val="0"/>
                <w:i/>
                <w:color w:val="000000"/>
                <w:sz w:val="16"/>
                <w:szCs w:val="16"/>
              </w:rPr>
              <w:t xml:space="preserve">DMRS-DownlinkConfig </w:t>
            </w:r>
            <w:r>
              <w:rPr>
                <w:rFonts w:ascii="Times New Roman" w:hAnsi="Times New Roman" w:eastAsia="Batang"/>
                <w:b w:val="0"/>
                <w:color w:val="000000"/>
                <w:sz w:val="16"/>
                <w:szCs w:val="16"/>
              </w:rPr>
              <w:t xml:space="preserve">in either of </w:t>
            </w:r>
            <w:r>
              <w:rPr>
                <w:rFonts w:ascii="Times New Roman" w:hAnsi="Times New Roman" w:eastAsia="Batang"/>
                <w:b w:val="0"/>
                <w:color w:val="000000"/>
                <w:sz w:val="16"/>
                <w:szCs w:val="16"/>
              </w:rPr>
              <w:br w:type="textWrapping"/>
            </w:r>
            <w:r>
              <w:rPr>
                <w:rFonts w:ascii="Times New Roman" w:hAnsi="Times New Roman"/>
                <w:b w:val="0"/>
                <w:i/>
                <w:sz w:val="16"/>
                <w:szCs w:val="16"/>
              </w:rPr>
              <w:t>dmrs-DownlinkForPDSCH-MappingTypeA</w:t>
            </w:r>
            <w:r>
              <w:rPr>
                <w:rFonts w:ascii="Times New Roman" w:hAnsi="Times New Roman"/>
                <w:b w:val="0"/>
                <w:sz w:val="16"/>
                <w:szCs w:val="16"/>
              </w:rPr>
              <w:t xml:space="preserve">, </w:t>
            </w:r>
            <w:r>
              <w:rPr>
                <w:rFonts w:ascii="Times New Roman" w:hAnsi="Times New Roman"/>
                <w:b w:val="0"/>
                <w:i/>
                <w:sz w:val="16"/>
                <w:szCs w:val="16"/>
              </w:rPr>
              <w:t>dmrs-DownlinkForPDSCH-MappingTypeB</w:t>
            </w:r>
          </w:p>
          <w:p>
            <w:pPr>
              <w:pStyle w:val="47"/>
              <w:rPr>
                <w:rFonts w:ascii="Times New Roman" w:hAnsi="Times New Roman" w:eastAsia="Batang"/>
                <w:b w:val="0"/>
                <w:color w:val="000000"/>
                <w:sz w:val="16"/>
                <w:szCs w:val="16"/>
              </w:rPr>
            </w:pPr>
            <w:r>
              <w:rPr>
                <w:rFonts w:ascii="Times New Roman" w:hAnsi="Times New Roman" w:eastAsia="Batang"/>
                <w:b w:val="0"/>
                <w:i/>
                <w:color w:val="000000"/>
                <w:sz w:val="16"/>
                <w:szCs w:val="16"/>
              </w:rPr>
              <w:t>or if the higher layer parameter is 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5" w:type="dxa"/>
            <w:shd w:val="clear" w:color="auto" w:fill="auto"/>
          </w:tcPr>
          <w:p>
            <w:pPr>
              <w:pStyle w:val="48"/>
              <w:rPr>
                <w:color w:val="000000"/>
                <w:sz w:val="16"/>
                <w:szCs w:val="16"/>
              </w:rPr>
            </w:pPr>
            <w:r>
              <w:rPr>
                <w:color w:val="000000"/>
                <w:sz w:val="16"/>
                <w:szCs w:val="16"/>
              </w:rPr>
              <w:t>3 (120 kHz)</w:t>
            </w:r>
          </w:p>
        </w:tc>
        <w:tc>
          <w:tcPr>
            <w:tcW w:w="4590" w:type="dxa"/>
            <w:shd w:val="clear" w:color="auto" w:fill="auto"/>
          </w:tcPr>
          <w:p>
            <w:pPr>
              <w:pStyle w:val="48"/>
              <w:ind w:firstLine="1200" w:firstLineChars="750"/>
              <w:rPr>
                <w:color w:val="000000"/>
                <w:sz w:val="16"/>
                <w:szCs w:val="16"/>
              </w:rPr>
            </w:pPr>
            <w:r>
              <w:rPr>
                <w:rFonts w:eastAsia="Batang"/>
                <w:color w:val="000000"/>
                <w:sz w:val="16"/>
                <w:szCs w:val="16"/>
              </w:rPr>
              <w:t>20</w:t>
            </w:r>
          </w:p>
        </w:tc>
        <w:tc>
          <w:tcPr>
            <w:tcW w:w="4076" w:type="dxa"/>
          </w:tcPr>
          <w:p>
            <w:pPr>
              <w:pStyle w:val="48"/>
              <w:rPr>
                <w:rFonts w:eastAsia="Batang"/>
                <w:color w:val="000000"/>
                <w:sz w:val="16"/>
                <w:szCs w:val="16"/>
              </w:rPr>
            </w:pPr>
            <w:r>
              <w:rPr>
                <w:rFonts w:eastAsia="Batang"/>
                <w:color w:val="000000"/>
                <w:sz w:val="16"/>
                <w:szCs w:val="16"/>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1215" w:type="dxa"/>
            <w:shd w:val="clear" w:color="auto" w:fill="auto"/>
          </w:tcPr>
          <w:p>
            <w:pPr>
              <w:pStyle w:val="48"/>
              <w:rPr>
                <w:color w:val="000000"/>
                <w:sz w:val="16"/>
                <w:szCs w:val="16"/>
              </w:rPr>
            </w:pPr>
            <w:r>
              <w:rPr>
                <w:color w:val="000000"/>
                <w:sz w:val="16"/>
                <w:szCs w:val="16"/>
              </w:rPr>
              <w:t>5 (480 kHz)</w:t>
            </w:r>
          </w:p>
        </w:tc>
        <w:tc>
          <w:tcPr>
            <w:tcW w:w="4590" w:type="dxa"/>
            <w:shd w:val="clear" w:color="auto" w:fill="auto"/>
          </w:tcPr>
          <w:p>
            <w:pPr>
              <w:pStyle w:val="48"/>
              <w:ind w:firstLine="1200" w:firstLineChars="750"/>
              <w:rPr>
                <w:color w:val="000000"/>
                <w:sz w:val="16"/>
                <w:szCs w:val="16"/>
              </w:rPr>
            </w:pPr>
            <w:r>
              <w:rPr>
                <w:sz w:val="16"/>
                <w:szCs w:val="16"/>
              </w:rPr>
              <w:t>80</w:t>
            </w:r>
          </w:p>
        </w:tc>
        <w:tc>
          <w:tcPr>
            <w:tcW w:w="4076" w:type="dxa"/>
          </w:tcPr>
          <w:p>
            <w:pPr>
              <w:pStyle w:val="48"/>
              <w:tabs>
                <w:tab w:val="left" w:pos="1855"/>
                <w:tab w:val="center" w:pos="2680"/>
              </w:tabs>
              <w:ind w:firstLine="1200" w:firstLineChars="750"/>
              <w:jc w:val="left"/>
              <w:rPr>
                <w:color w:val="000000"/>
                <w:sz w:val="16"/>
                <w:szCs w:val="16"/>
              </w:rPr>
            </w:pPr>
            <w:r>
              <w:rPr>
                <w:sz w:val="16"/>
                <w:szCs w:val="16"/>
              </w:rPr>
              <w:tab/>
            </w:r>
            <w:r>
              <w:rPr>
                <w:sz w:val="16"/>
                <w:szCs w:val="16"/>
              </w:rPr>
              <w:t>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1215" w:type="dxa"/>
            <w:shd w:val="clear" w:color="auto" w:fill="auto"/>
          </w:tcPr>
          <w:p>
            <w:pPr>
              <w:pStyle w:val="48"/>
              <w:rPr>
                <w:color w:val="000000"/>
                <w:sz w:val="16"/>
                <w:szCs w:val="16"/>
              </w:rPr>
            </w:pPr>
            <w:r>
              <w:rPr>
                <w:color w:val="000000"/>
                <w:sz w:val="16"/>
                <w:szCs w:val="16"/>
              </w:rPr>
              <w:t>6 (960 kHz)</w:t>
            </w:r>
          </w:p>
        </w:tc>
        <w:tc>
          <w:tcPr>
            <w:tcW w:w="4590" w:type="dxa"/>
            <w:shd w:val="clear" w:color="auto" w:fill="auto"/>
          </w:tcPr>
          <w:p>
            <w:pPr>
              <w:pStyle w:val="48"/>
              <w:ind w:firstLine="1200" w:firstLineChars="750"/>
              <w:rPr>
                <w:color w:val="000000"/>
                <w:sz w:val="16"/>
                <w:szCs w:val="16"/>
              </w:rPr>
            </w:pPr>
            <w:r>
              <w:rPr>
                <w:sz w:val="16"/>
                <w:szCs w:val="16"/>
              </w:rPr>
              <w:t>160</w:t>
            </w:r>
          </w:p>
        </w:tc>
        <w:tc>
          <w:tcPr>
            <w:tcW w:w="4076" w:type="dxa"/>
          </w:tcPr>
          <w:p>
            <w:pPr>
              <w:pStyle w:val="48"/>
              <w:rPr>
                <w:color w:val="000000"/>
                <w:sz w:val="16"/>
                <w:szCs w:val="16"/>
              </w:rPr>
            </w:pPr>
            <w:r>
              <w:rPr>
                <w:sz w:val="16"/>
                <w:szCs w:val="16"/>
              </w:rPr>
              <w:t>192</w:t>
            </w:r>
          </w:p>
        </w:tc>
      </w:tr>
    </w:tbl>
    <w:p/>
    <w:p>
      <w:pPr>
        <w:pStyle w:val="14"/>
        <w:ind w:left="933" w:firstLine="219"/>
        <w:jc w:val="center"/>
        <w:rPr>
          <w:b w:val="0"/>
        </w:rPr>
      </w:pPr>
      <w:r>
        <w:rPr>
          <w:b w:val="0"/>
        </w:rPr>
        <w:t>Table 2-2.2 PUSCH preparation time for PUSCH timing capability 1</w:t>
      </w:r>
    </w:p>
    <w:tbl>
      <w:tblPr>
        <w:tblStyle w:val="25"/>
        <w:tblW w:w="61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5"/>
        <w:gridCol w:w="49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5" w:type="dxa"/>
            <w:shd w:val="clear" w:color="auto" w:fill="auto"/>
          </w:tcPr>
          <w:p>
            <w:pPr>
              <w:pStyle w:val="48"/>
              <w:rPr>
                <w:color w:val="000000"/>
                <w:sz w:val="16"/>
                <w:szCs w:val="16"/>
              </w:rPr>
            </w:pPr>
            <w:r>
              <w:rPr>
                <w:rFonts w:eastAsia="Batang"/>
                <w:color w:val="000000"/>
                <w:position w:val="-8"/>
                <w:sz w:val="16"/>
                <w:szCs w:val="16"/>
              </w:rPr>
              <w:object>
                <v:shape id="_x0000_i1027" o:spt="75" type="#_x0000_t75" style="height:14.25pt;width:14.25pt;" o:ole="t" filled="f" o:preferrelative="t" stroked="f" coordsize="21600,21600">
                  <v:path/>
                  <v:fill on="f" focussize="0,0"/>
                  <v:stroke on="f" joinstyle="miter"/>
                  <v:imagedata r:id="rId10" o:title=""/>
                  <o:lock v:ext="edit" aspectratio="t"/>
                  <w10:wrap type="none"/>
                  <w10:anchorlock/>
                </v:shape>
                <o:OLEObject Type="Embed" ProgID="Equation.3" ShapeID="_x0000_i1027" DrawAspect="Content" ObjectID="_1468075727" r:id="rId11">
                  <o:LockedField>false</o:LockedField>
                </o:OLEObject>
              </w:object>
            </w:r>
          </w:p>
        </w:tc>
        <w:tc>
          <w:tcPr>
            <w:tcW w:w="4920" w:type="dxa"/>
            <w:shd w:val="clear" w:color="auto" w:fill="auto"/>
          </w:tcPr>
          <w:p>
            <w:pPr>
              <w:pStyle w:val="48"/>
              <w:ind w:firstLine="1200" w:firstLineChars="750"/>
              <w:rPr>
                <w:rFonts w:eastAsia="Batang"/>
                <w:color w:val="000000"/>
                <w:sz w:val="16"/>
                <w:szCs w:val="16"/>
              </w:rPr>
            </w:pPr>
            <w:r>
              <w:rPr>
                <w:rFonts w:eastAsia="Batang"/>
                <w:color w:val="000000"/>
                <w:sz w:val="16"/>
                <w:szCs w:val="16"/>
              </w:rPr>
              <w:t xml:space="preserve">PUSCH preparation time </w:t>
            </w:r>
            <w:r>
              <w:rPr>
                <w:rFonts w:eastAsia="Batang"/>
                <w:i/>
                <w:color w:val="000000"/>
                <w:sz w:val="16"/>
                <w:szCs w:val="16"/>
              </w:rPr>
              <w:t>N</w:t>
            </w:r>
            <w:r>
              <w:rPr>
                <w:rFonts w:eastAsia="Batang"/>
                <w:i/>
                <w:color w:val="000000"/>
                <w:sz w:val="16"/>
                <w:szCs w:val="16"/>
                <w:vertAlign w:val="subscript"/>
              </w:rPr>
              <w:t>2</w:t>
            </w:r>
            <w:r>
              <w:rPr>
                <w:rFonts w:eastAsia="Batang"/>
                <w:color w:val="000000"/>
                <w:sz w:val="16"/>
                <w:szCs w:val="16"/>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5" w:type="dxa"/>
            <w:shd w:val="clear" w:color="auto" w:fill="auto"/>
          </w:tcPr>
          <w:p>
            <w:pPr>
              <w:pStyle w:val="48"/>
              <w:rPr>
                <w:color w:val="000000"/>
                <w:sz w:val="16"/>
                <w:szCs w:val="16"/>
              </w:rPr>
            </w:pPr>
            <w:r>
              <w:rPr>
                <w:color w:val="000000"/>
                <w:sz w:val="16"/>
                <w:szCs w:val="16"/>
              </w:rPr>
              <w:t>3 (120 kHz)</w:t>
            </w:r>
          </w:p>
        </w:tc>
        <w:tc>
          <w:tcPr>
            <w:tcW w:w="4920" w:type="dxa"/>
            <w:shd w:val="clear" w:color="auto" w:fill="auto"/>
          </w:tcPr>
          <w:p>
            <w:pPr>
              <w:pStyle w:val="48"/>
              <w:ind w:firstLine="1200" w:firstLineChars="750"/>
              <w:rPr>
                <w:color w:val="000000"/>
                <w:sz w:val="16"/>
                <w:szCs w:val="16"/>
              </w:rPr>
            </w:pPr>
            <w:r>
              <w:rPr>
                <w:rFonts w:eastAsia="Batang"/>
                <w:color w:val="000000"/>
                <w:sz w:val="16"/>
                <w:szCs w:val="16"/>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1215" w:type="dxa"/>
            <w:shd w:val="clear" w:color="auto" w:fill="auto"/>
          </w:tcPr>
          <w:p>
            <w:pPr>
              <w:pStyle w:val="48"/>
              <w:rPr>
                <w:color w:val="000000"/>
                <w:sz w:val="16"/>
                <w:szCs w:val="16"/>
              </w:rPr>
            </w:pPr>
            <w:r>
              <w:rPr>
                <w:color w:val="000000"/>
                <w:sz w:val="16"/>
                <w:szCs w:val="16"/>
              </w:rPr>
              <w:t>5 (480 kHz)</w:t>
            </w:r>
          </w:p>
        </w:tc>
        <w:tc>
          <w:tcPr>
            <w:tcW w:w="4920" w:type="dxa"/>
            <w:shd w:val="clear" w:color="auto" w:fill="auto"/>
          </w:tcPr>
          <w:p>
            <w:pPr>
              <w:pStyle w:val="48"/>
              <w:ind w:firstLine="1200" w:firstLineChars="750"/>
              <w:rPr>
                <w:color w:val="000000"/>
                <w:sz w:val="16"/>
                <w:szCs w:val="16"/>
              </w:rPr>
            </w:pPr>
            <w:r>
              <w:rPr>
                <w:sz w:val="16"/>
                <w:szCs w:val="16"/>
              </w:rPr>
              <w:t xml:space="preserve">144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1215" w:type="dxa"/>
            <w:shd w:val="clear" w:color="auto" w:fill="auto"/>
          </w:tcPr>
          <w:p>
            <w:pPr>
              <w:pStyle w:val="48"/>
              <w:rPr>
                <w:color w:val="000000"/>
                <w:sz w:val="16"/>
                <w:szCs w:val="16"/>
              </w:rPr>
            </w:pPr>
            <w:r>
              <w:rPr>
                <w:color w:val="000000"/>
                <w:sz w:val="16"/>
                <w:szCs w:val="16"/>
              </w:rPr>
              <w:t>6 (960 kHz)</w:t>
            </w:r>
          </w:p>
        </w:tc>
        <w:tc>
          <w:tcPr>
            <w:tcW w:w="4920" w:type="dxa"/>
            <w:shd w:val="clear" w:color="auto" w:fill="auto"/>
          </w:tcPr>
          <w:p>
            <w:pPr>
              <w:pStyle w:val="48"/>
              <w:ind w:firstLine="1200" w:firstLineChars="750"/>
              <w:rPr>
                <w:color w:val="000000"/>
                <w:sz w:val="16"/>
                <w:szCs w:val="16"/>
              </w:rPr>
            </w:pPr>
            <w:r>
              <w:rPr>
                <w:sz w:val="16"/>
                <w:szCs w:val="16"/>
              </w:rPr>
              <w:t>288</w:t>
            </w:r>
          </w:p>
        </w:tc>
      </w:tr>
    </w:tbl>
    <w:p/>
    <w:p>
      <w:pPr>
        <w:pStyle w:val="14"/>
        <w:ind w:left="933" w:firstLine="219"/>
        <w:jc w:val="center"/>
        <w:rPr>
          <w:b w:val="0"/>
        </w:rPr>
      </w:pPr>
      <w:r>
        <w:rPr>
          <w:b w:val="0"/>
        </w:rPr>
        <w:t>Table 2-2.3 Minimum gap between the second detected DCI and the beginning of the first PUCCH resources</w:t>
      </w:r>
    </w:p>
    <w:tbl>
      <w:tblPr>
        <w:tblStyle w:val="25"/>
        <w:tblW w:w="69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5"/>
        <w:gridCol w:w="57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5" w:type="dxa"/>
            <w:shd w:val="clear" w:color="auto" w:fill="auto"/>
          </w:tcPr>
          <w:p>
            <w:pPr>
              <w:pStyle w:val="48"/>
              <w:rPr>
                <w:color w:val="000000"/>
                <w:sz w:val="16"/>
                <w:szCs w:val="16"/>
              </w:rPr>
            </w:pPr>
            <w:r>
              <w:rPr>
                <w:rFonts w:eastAsia="Batang"/>
                <w:color w:val="000000"/>
                <w:position w:val="-8"/>
                <w:sz w:val="16"/>
                <w:szCs w:val="16"/>
              </w:rPr>
              <w:object>
                <v:shape id="_x0000_i1028" o:spt="75" type="#_x0000_t75" style="height:14.25pt;width:14.25pt;" o:ole="t" filled="f" o:preferrelative="t" stroked="f" coordsize="21600,21600">
                  <v:path/>
                  <v:fill on="f" focussize="0,0"/>
                  <v:stroke on="f" joinstyle="miter"/>
                  <v:imagedata r:id="rId10" o:title=""/>
                  <o:lock v:ext="edit" aspectratio="t"/>
                  <w10:wrap type="none"/>
                  <w10:anchorlock/>
                </v:shape>
                <o:OLEObject Type="Embed" ProgID="Equation.3" ShapeID="_x0000_i1028" DrawAspect="Content" ObjectID="_1468075728" r:id="rId12">
                  <o:LockedField>false</o:LockedField>
                </o:OLEObject>
              </w:object>
            </w:r>
          </w:p>
        </w:tc>
        <w:tc>
          <w:tcPr>
            <w:tcW w:w="5777" w:type="dxa"/>
            <w:shd w:val="clear" w:color="auto" w:fill="auto"/>
          </w:tcPr>
          <w:p>
            <w:pPr>
              <w:pStyle w:val="48"/>
              <w:ind w:firstLine="1200" w:firstLineChars="750"/>
              <w:rPr>
                <w:rFonts w:eastAsia="Batang"/>
                <w:color w:val="000000"/>
                <w:sz w:val="16"/>
                <w:szCs w:val="16"/>
              </w:rPr>
            </w:pPr>
            <w:r>
              <w:rPr>
                <w:rFonts w:eastAsia="Batang"/>
                <w:color w:val="000000"/>
                <w:sz w:val="16"/>
                <w:szCs w:val="16"/>
              </w:rPr>
              <w:t xml:space="preserve">HARQ-ACK multiplexing timeline </w:t>
            </w:r>
            <w:r>
              <w:rPr>
                <w:rFonts w:eastAsia="Batang"/>
                <w:i/>
                <w:color w:val="000000"/>
                <w:sz w:val="16"/>
                <w:szCs w:val="16"/>
              </w:rPr>
              <w:t>N</w:t>
            </w:r>
            <w:r>
              <w:rPr>
                <w:rFonts w:eastAsia="Batang"/>
                <w:i/>
                <w:color w:val="000000"/>
                <w:sz w:val="16"/>
                <w:szCs w:val="16"/>
                <w:vertAlign w:val="subscript"/>
              </w:rPr>
              <w:t>3</w:t>
            </w:r>
            <w:r>
              <w:rPr>
                <w:rFonts w:eastAsia="Batang"/>
                <w:color w:val="000000"/>
                <w:sz w:val="16"/>
                <w:szCs w:val="16"/>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5" w:type="dxa"/>
            <w:shd w:val="clear" w:color="auto" w:fill="auto"/>
          </w:tcPr>
          <w:p>
            <w:pPr>
              <w:pStyle w:val="48"/>
              <w:rPr>
                <w:color w:val="000000"/>
                <w:sz w:val="16"/>
                <w:szCs w:val="16"/>
              </w:rPr>
            </w:pPr>
            <w:r>
              <w:rPr>
                <w:color w:val="000000"/>
                <w:sz w:val="16"/>
                <w:szCs w:val="16"/>
              </w:rPr>
              <w:t>3 (120 kHz)</w:t>
            </w:r>
          </w:p>
        </w:tc>
        <w:tc>
          <w:tcPr>
            <w:tcW w:w="5777" w:type="dxa"/>
            <w:shd w:val="clear" w:color="auto" w:fill="auto"/>
          </w:tcPr>
          <w:p>
            <w:pPr>
              <w:pStyle w:val="48"/>
              <w:ind w:firstLine="1200" w:firstLineChars="750"/>
              <w:rPr>
                <w:color w:val="000000"/>
                <w:sz w:val="16"/>
                <w:szCs w:val="16"/>
              </w:rPr>
            </w:pPr>
            <w:r>
              <w:rPr>
                <w:rFonts w:eastAsia="Batang"/>
                <w:color w:val="000000"/>
                <w:sz w:val="16"/>
                <w:szCs w:val="16"/>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1215" w:type="dxa"/>
            <w:shd w:val="clear" w:color="auto" w:fill="auto"/>
          </w:tcPr>
          <w:p>
            <w:pPr>
              <w:pStyle w:val="48"/>
              <w:rPr>
                <w:color w:val="000000"/>
                <w:sz w:val="16"/>
                <w:szCs w:val="16"/>
              </w:rPr>
            </w:pPr>
            <w:r>
              <w:rPr>
                <w:color w:val="000000"/>
                <w:sz w:val="16"/>
                <w:szCs w:val="16"/>
              </w:rPr>
              <w:t>5 (480 kHz)</w:t>
            </w:r>
          </w:p>
        </w:tc>
        <w:tc>
          <w:tcPr>
            <w:tcW w:w="5777" w:type="dxa"/>
            <w:shd w:val="clear" w:color="auto" w:fill="auto"/>
          </w:tcPr>
          <w:p>
            <w:pPr>
              <w:pStyle w:val="48"/>
              <w:ind w:firstLine="1200" w:firstLineChars="750"/>
              <w:rPr>
                <w:color w:val="000000"/>
                <w:sz w:val="16"/>
                <w:szCs w:val="16"/>
              </w:rPr>
            </w:pPr>
            <w:r>
              <w:rPr>
                <w:sz w:val="16"/>
                <w:szCs w:val="16"/>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1215" w:type="dxa"/>
            <w:shd w:val="clear" w:color="auto" w:fill="auto"/>
          </w:tcPr>
          <w:p>
            <w:pPr>
              <w:pStyle w:val="48"/>
              <w:rPr>
                <w:color w:val="000000"/>
                <w:sz w:val="16"/>
                <w:szCs w:val="16"/>
              </w:rPr>
            </w:pPr>
            <w:r>
              <w:rPr>
                <w:color w:val="000000"/>
                <w:sz w:val="16"/>
                <w:szCs w:val="16"/>
              </w:rPr>
              <w:t>6 (960 kHz)</w:t>
            </w:r>
          </w:p>
        </w:tc>
        <w:tc>
          <w:tcPr>
            <w:tcW w:w="5777" w:type="dxa"/>
            <w:shd w:val="clear" w:color="auto" w:fill="auto"/>
          </w:tcPr>
          <w:p>
            <w:pPr>
              <w:pStyle w:val="48"/>
              <w:ind w:firstLine="1200" w:firstLineChars="750"/>
              <w:rPr>
                <w:color w:val="000000"/>
                <w:sz w:val="16"/>
                <w:szCs w:val="16"/>
              </w:rPr>
            </w:pPr>
            <w:r>
              <w:rPr>
                <w:sz w:val="16"/>
                <w:szCs w:val="16"/>
              </w:rPr>
              <w:t>160</w:t>
            </w:r>
          </w:p>
        </w:tc>
      </w:tr>
    </w:tbl>
    <w:p>
      <w:pPr>
        <w:pStyle w:val="51"/>
        <w:spacing w:before="180"/>
        <w:ind w:left="0" w:firstLine="0"/>
        <w:jc w:val="both"/>
        <w:rPr>
          <w:rFonts w:hint="default" w:ascii="Times New Roman" w:hAnsi="Times New Roman" w:cs="Times New Roman"/>
          <w:color w:val="000000" w:themeColor="text1"/>
          <w:lang w:val="en-US" w:eastAsia="zh-CN"/>
          <w14:textFill>
            <w14:solidFill>
              <w14:schemeClr w14:val="tx1"/>
            </w14:solidFill>
          </w14:textFill>
        </w:rPr>
      </w:pPr>
      <w:r>
        <w:rPr>
          <w:rFonts w:hint="default"/>
          <w:lang w:val="en-US" w:eastAsia="zh-CN"/>
        </w:rPr>
        <w:t>In Rel-15, for each of N1/N2/N3, without exception, there are two parameter sets or tables for two timing processing  capabilities. But for the capability 2, the values of N1/N2/N3 are only provided for frequency range 1 for SCSs of 15kHz,</w:t>
      </w:r>
      <w:r>
        <w:rPr>
          <w:rFonts w:hint="eastAsia" w:ascii="Times New Roman" w:hAnsi="Times New Roman" w:cs="Times New Roman"/>
          <w:lang w:val="en-US" w:eastAsia="zh-CN"/>
        </w:rPr>
        <w:t xml:space="preserve"> </w:t>
      </w:r>
      <w:r>
        <w:rPr>
          <w:rFonts w:hint="default"/>
          <w:lang w:val="en-US" w:eastAsia="zh-CN"/>
        </w:rPr>
        <w:t xml:space="preserve">30kHz and 60kHz. Hence the agreement listed above was achieved based on the </w:t>
      </w:r>
      <w:r>
        <w:rPr>
          <w:rFonts w:ascii="Times New Roman" w:hAnsi="Times New Roman" w:cs="Times New Roman"/>
          <w:color w:val="000000" w:themeColor="text1"/>
          <w14:textFill>
            <w14:solidFill>
              <w14:schemeClr w14:val="tx1"/>
            </w14:solidFill>
          </w14:textFill>
        </w:rPr>
        <w:t>absolute time of 120 kHz SCS time</w:t>
      </w:r>
      <w:r>
        <w:rPr>
          <w:rFonts w:hint="default" w:ascii="Times New Roman" w:hAnsi="Times New Roman" w:cs="Times New Roman"/>
          <w:color w:val="000000" w:themeColor="text1"/>
          <w:lang w:val="en-US" w:eastAsia="zh-CN"/>
          <w14:textFill>
            <w14:solidFill>
              <w14:schemeClr w14:val="tx1"/>
            </w14:solidFill>
          </w14:textFill>
        </w:rPr>
        <w:t xml:space="preserve"> </w:t>
      </w:r>
      <w:r>
        <w:rPr>
          <w:rFonts w:ascii="Times New Roman" w:hAnsi="Times New Roman" w:cs="Times New Roman"/>
          <w:color w:val="000000" w:themeColor="text1"/>
          <w14:textFill>
            <w14:solidFill>
              <w14:schemeClr w14:val="tx1"/>
            </w14:solidFill>
          </w14:textFill>
        </w:rPr>
        <w:t>lines</w:t>
      </w:r>
      <w:r>
        <w:rPr>
          <w:rFonts w:hint="default" w:ascii="Times New Roman" w:hAnsi="Times New Roman" w:cs="Times New Roman"/>
          <w:color w:val="000000" w:themeColor="text1"/>
          <w:lang w:val="en-US" w:eastAsia="zh-CN"/>
          <w14:textFill>
            <w14:solidFill>
              <w14:schemeClr w14:val="tx1"/>
            </w14:solidFill>
          </w14:textFill>
        </w:rPr>
        <w:t xml:space="preserve"> for only timing capability 1.</w:t>
      </w:r>
    </w:p>
    <w:p>
      <w:pPr>
        <w:pStyle w:val="51"/>
        <w:spacing w:before="180"/>
        <w:ind w:left="0" w:firstLine="0"/>
        <w:jc w:val="both"/>
        <w:rPr>
          <w:rFonts w:hint="default"/>
          <w:lang w:val="en-US" w:eastAsia="zh-CN"/>
        </w:rPr>
      </w:pPr>
      <w:r>
        <w:rPr>
          <w:rFonts w:hint="default" w:ascii="Times New Roman" w:hAnsi="Times New Roman" w:cs="Times New Roman"/>
          <w:color w:val="000000" w:themeColor="text1"/>
          <w:lang w:val="en-US" w:eastAsia="zh-CN"/>
          <w14:textFill>
            <w14:solidFill>
              <w14:schemeClr w14:val="tx1"/>
            </w14:solidFill>
          </w14:textFill>
        </w:rPr>
        <w:t xml:space="preserve">In our understanding, the </w:t>
      </w:r>
      <w:r>
        <w:rPr>
          <w:rFonts w:hint="default"/>
          <w:lang w:val="en-US" w:eastAsia="zh-CN"/>
        </w:rPr>
        <w:t>timing processing capability 1 is for eMBB, and the latency is not so stringent, the parameters agreed are sufficient at least for single PDSCH/PUSCH scheduling. For multi-PxSCH scheduling, as the note shown, the values of N1/N2 are for any of the PDSCH/PUSCH in multi-PDSCH/PUSCH scheduling.</w:t>
      </w:r>
    </w:p>
    <w:p>
      <w:pPr>
        <w:pStyle w:val="51"/>
        <w:spacing w:before="180"/>
        <w:ind w:left="0" w:firstLine="0"/>
        <w:jc w:val="both"/>
        <w:rPr>
          <w:rFonts w:hint="eastAsia"/>
          <w:lang w:val="en-US" w:eastAsia="zh-CN"/>
        </w:rPr>
      </w:pPr>
      <w:r>
        <w:rPr>
          <w:rFonts w:hint="eastAsia"/>
          <w:lang w:val="en-US" w:eastAsia="zh-CN"/>
        </w:rPr>
        <w:t>As for whether or not to introduce smaller values, in our opinion, the smaller latency may lead to better user experience. On the other side, more strict timeline requires higher UE complexity. Such issues seem as optimization, up to now there is no consensus on the method of the determination of the N1/N2/N3. We are open to discuss the smaller values of timeline, given that only 2 meetings are left to discuss this issue, if no consensus can be achieved in RAN1#106b-e, we can accept the already agreed timeline values.</w:t>
      </w:r>
    </w:p>
    <w:p>
      <w:pPr>
        <w:pStyle w:val="51"/>
        <w:spacing w:before="180"/>
        <w:ind w:left="0" w:firstLine="0"/>
        <w:jc w:val="both"/>
        <w:rPr>
          <w:b/>
          <w:bCs/>
        </w:rPr>
      </w:pPr>
      <w:r>
        <w:rPr>
          <w:rFonts w:hint="eastAsia"/>
          <w:b/>
          <w:bCs/>
          <w:lang w:val="en-US" w:eastAsia="zh-CN"/>
        </w:rPr>
        <w:t>Proposal 8: A</w:t>
      </w:r>
      <w:r>
        <w:rPr>
          <w:b/>
          <w:bCs/>
        </w:rPr>
        <w:t xml:space="preserve">dopt </w:t>
      </w:r>
      <w:r>
        <w:rPr>
          <w:rFonts w:hint="eastAsia"/>
          <w:b/>
          <w:bCs/>
          <w:lang w:val="en-US" w:eastAsia="zh-CN"/>
        </w:rPr>
        <w:t>the already agreed values of</w:t>
      </w:r>
      <w:r>
        <w:rPr>
          <w:b/>
          <w:bCs/>
        </w:rPr>
        <w:t xml:space="preserve"> N1, N2 and N3 for single and multi-PDSCH/PUSCH scheduling</w:t>
      </w:r>
      <w:r>
        <w:rPr>
          <w:rFonts w:hint="eastAsia"/>
          <w:b/>
          <w:bCs/>
          <w:lang w:val="en-US" w:eastAsia="zh-CN"/>
        </w:rPr>
        <w:t xml:space="preserve"> if there is no consensus on smaller values</w:t>
      </w:r>
      <w:r>
        <w:rPr>
          <w:b/>
          <w:bCs/>
        </w:rPr>
        <w:t>.</w:t>
      </w:r>
    </w:p>
    <w:p>
      <w:pPr>
        <w:pStyle w:val="3"/>
      </w:pPr>
      <w:bookmarkStart w:id="6" w:name="_Toc53775906"/>
      <w:r>
        <w:rPr>
          <w:rFonts w:hint="eastAsia" w:eastAsia="宋体"/>
          <w:lang w:val="en-US" w:eastAsia="zh-CN"/>
        </w:rPr>
        <w:t xml:space="preserve"> </w:t>
      </w:r>
      <w:r>
        <w:t>PTRS</w:t>
      </w:r>
      <w:r>
        <w:rPr>
          <w:rFonts w:hint="eastAsia" w:eastAsia="宋体"/>
          <w:lang w:val="en-US" w:eastAsia="zh-CN"/>
        </w:rPr>
        <w:t xml:space="preserve"> enhancement</w:t>
      </w:r>
    </w:p>
    <w:p>
      <w:pPr>
        <w:pStyle w:val="4"/>
        <w:rPr>
          <w:lang w:val="en-US"/>
        </w:rPr>
      </w:pPr>
      <w:r>
        <w:rPr>
          <w:rFonts w:hint="eastAsia"/>
          <w:lang w:val="en-US" w:eastAsia="zh-CN"/>
        </w:rPr>
        <w:t xml:space="preserve"> CP-OFDM</w:t>
      </w:r>
    </w:p>
    <w:p>
      <w:pPr>
        <w:numPr>
          <w:ilvl w:val="0"/>
          <w:numId w:val="15"/>
        </w:numPr>
        <w:rPr>
          <w:lang w:val="en-US"/>
        </w:rPr>
      </w:pPr>
      <w:r>
        <w:rPr>
          <w:rFonts w:hint="eastAsia"/>
          <w:lang w:val="en-US" w:eastAsia="zh-CN"/>
        </w:rPr>
        <w:t>PTRS density</w:t>
      </w:r>
    </w:p>
    <w:p>
      <w:pPr>
        <w:rPr>
          <w:rFonts w:eastAsia="宋体"/>
          <w:lang w:val="en-US" w:eastAsia="zh-CN"/>
        </w:rPr>
      </w:pPr>
      <w:r>
        <w:rPr>
          <w:rFonts w:hint="eastAsia" w:eastAsia="宋体"/>
          <w:lang w:val="en-US" w:eastAsia="zh-CN"/>
        </w:rPr>
        <w:t>In RAN1 #104b-e meeting, some companies propose</w:t>
      </w:r>
      <w:r>
        <w:rPr>
          <w:rFonts w:eastAsia="宋体"/>
          <w:lang w:val="en-US" w:eastAsia="zh-CN"/>
        </w:rPr>
        <w:t>d</w:t>
      </w:r>
      <w:r>
        <w:rPr>
          <w:rFonts w:hint="eastAsia" w:eastAsia="宋体"/>
          <w:lang w:val="en-US" w:eastAsia="zh-CN"/>
        </w:rPr>
        <w:t xml:space="preserve"> that the performance of higher PTRS density might be better when the allocated RB number is relatively small. Then we have the following agreement to conclude that when RB number is larger than 32, increased PTRS density is not supported, and encourage companies to evaluate the higher PTRS density with the specific configuration.</w:t>
      </w:r>
    </w:p>
    <w:p>
      <w:pPr>
        <w:rPr>
          <w:rFonts w:eastAsia="宋体"/>
          <w:lang w:val="en-US" w:eastAsia="zh-CN"/>
        </w:rPr>
      </w:pPr>
      <w:r>
        <w:rPr>
          <w:rFonts w:ascii="Arial" w:hAnsi="Arial" w:cs="Arial"/>
          <w:color w:val="000000"/>
          <w:lang w:val="en-US" w:eastAsia="zh-CN"/>
        </w:rPr>
        <mc:AlternateContent>
          <mc:Choice Requires="wps">
            <w:drawing>
              <wp:inline distT="0" distB="0" distL="0" distR="0">
                <wp:extent cx="6088380" cy="3159760"/>
                <wp:effectExtent l="4445" t="4445" r="18415" b="5715"/>
                <wp:docPr id="7"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88380" cy="3159760"/>
                        </a:xfrm>
                        <a:prstGeom prst="rect">
                          <a:avLst/>
                        </a:prstGeom>
                        <a:solidFill>
                          <a:srgbClr val="FFFFFF"/>
                        </a:solidFill>
                        <a:ln w="9525">
                          <a:solidFill>
                            <a:srgbClr val="000000"/>
                          </a:solidFill>
                          <a:miter lim="800000"/>
                        </a:ln>
                      </wps:spPr>
                      <wps:txb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numPr>
                                <w:ilvl w:val="0"/>
                                <w:numId w:val="16"/>
                              </w:numPr>
                              <w:ind w:left="720"/>
                              <w:rPr>
                                <w:rFonts w:eastAsia="Batang"/>
                              </w:rPr>
                            </w:pPr>
                            <w:r>
                              <w:rPr>
                                <w:rFonts w:eastAsia="Batang"/>
                                <w:lang w:eastAsia="zh-CN"/>
                              </w:rPr>
                              <w:t>In Rel-17, for NR operation in 52.6 – 71 GHz, conclude that increased PTRS frequency density</w:t>
                            </w:r>
                            <w:r>
                              <w:rPr>
                                <w:rFonts w:eastAsia="Batang"/>
                              </w:rPr>
                              <w:t xml:space="preserve"> is not supported for CP-OFDM at least for Rel-15 PTRS pattern when the allocated number of RB &gt; 32</w:t>
                            </w:r>
                          </w:p>
                          <w:p>
                            <w:pPr>
                              <w:numPr>
                                <w:ilvl w:val="0"/>
                                <w:numId w:val="16"/>
                              </w:numPr>
                              <w:overflowPunct w:val="0"/>
                              <w:autoSpaceDE w:val="0"/>
                              <w:autoSpaceDN w:val="0"/>
                              <w:adjustRightInd w:val="0"/>
                              <w:spacing w:after="0"/>
                              <w:ind w:left="720"/>
                              <w:jc w:val="both"/>
                              <w:textAlignment w:val="baseline"/>
                              <w:rPr>
                                <w:rFonts w:eastAsia="MS PMincho"/>
                                <w:lang w:eastAsia="ja-JP"/>
                              </w:rPr>
                            </w:pPr>
                            <w:r>
                              <w:rPr>
                                <w:rFonts w:eastAsia="MS PMincho"/>
                                <w:lang w:eastAsia="ja-JP"/>
                              </w:rPr>
                              <w:t xml:space="preserve">Companies are encouraged to study whether to increase PTRS frequency density for small RB allocations </w:t>
                            </w:r>
                            <w:r>
                              <w:rPr>
                                <w:rFonts w:eastAsia="Batang"/>
                              </w:rPr>
                              <w:t>for CP-OFDM for NR operation in 52.6 to 71 GHz with respect to phase noise compensation performance</w:t>
                            </w:r>
                          </w:p>
                          <w:p>
                            <w:pPr>
                              <w:numPr>
                                <w:ilvl w:val="1"/>
                                <w:numId w:val="16"/>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CPE and ICI PN compensation</w:t>
                            </w:r>
                          </w:p>
                          <w:p>
                            <w:pPr>
                              <w:numPr>
                                <w:ilvl w:val="2"/>
                                <w:numId w:val="16"/>
                              </w:numPr>
                              <w:overflowPunct w:val="0"/>
                              <w:autoSpaceDE w:val="0"/>
                              <w:autoSpaceDN w:val="0"/>
                              <w:adjustRightInd w:val="0"/>
                              <w:spacing w:after="0" w:line="280" w:lineRule="atLeast"/>
                              <w:ind w:left="2160"/>
                              <w:jc w:val="both"/>
                              <w:textAlignment w:val="baseline"/>
                              <w:rPr>
                                <w:rFonts w:eastAsia="MS PMincho"/>
                                <w:lang w:eastAsia="ja-JP"/>
                              </w:rPr>
                            </w:pPr>
                            <w:r>
                              <w:rPr>
                                <w:rFonts w:eastAsia="MS PMincho"/>
                                <w:lang w:eastAsia="ja-JP"/>
                              </w:rPr>
                              <w:t>Note: Results for CPE compensation-only are to be reported for reference</w:t>
                            </w:r>
                          </w:p>
                          <w:p>
                            <w:pPr>
                              <w:numPr>
                                <w:ilvl w:val="1"/>
                                <w:numId w:val="16"/>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(K = 0.5, L = 1), (K = 1, L = 1), (K = 2, L = 1),</w:t>
                            </w:r>
                          </w:p>
                          <w:p>
                            <w:pPr>
                              <w:numPr>
                                <w:ilvl w:val="2"/>
                                <w:numId w:val="16"/>
                              </w:numPr>
                              <w:overflowPunct w:val="0"/>
                              <w:autoSpaceDE w:val="0"/>
                              <w:autoSpaceDN w:val="0"/>
                              <w:adjustRightInd w:val="0"/>
                              <w:spacing w:after="0"/>
                              <w:ind w:left="2160"/>
                              <w:jc w:val="both"/>
                              <w:textAlignment w:val="baseline"/>
                              <w:rPr>
                                <w:rFonts w:eastAsia="MS PMincho"/>
                                <w:lang w:eastAsia="ja-JP"/>
                              </w:rPr>
                            </w:pPr>
                            <w:r>
                              <w:rPr>
                                <w:rFonts w:eastAsia="MS PMincho"/>
                                <w:lang w:eastAsia="ja-JP"/>
                              </w:rPr>
                              <w:t>Note: PTRS per K number of PRBs, and PTRS every L number of OFDM symbols</w:t>
                            </w:r>
                          </w:p>
                          <w:p>
                            <w:pPr>
                              <w:numPr>
                                <w:ilvl w:val="1"/>
                                <w:numId w:val="16"/>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Number of RBs: 8, 16, 32</w:t>
                            </w:r>
                          </w:p>
                          <w:p>
                            <w:pPr>
                              <w:numPr>
                                <w:ilvl w:val="1"/>
                                <w:numId w:val="16"/>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 xml:space="preserve">Other values of K and number of RBs are not precluded </w:t>
                            </w:r>
                          </w:p>
                          <w:p>
                            <w:pPr>
                              <w:numPr>
                                <w:ilvl w:val="0"/>
                                <w:numId w:val="16"/>
                              </w:numPr>
                              <w:overflowPunct w:val="0"/>
                              <w:autoSpaceDE w:val="0"/>
                              <w:autoSpaceDN w:val="0"/>
                              <w:adjustRightInd w:val="0"/>
                              <w:spacing w:after="0"/>
                              <w:ind w:left="720"/>
                              <w:jc w:val="both"/>
                              <w:textAlignment w:val="baseline"/>
                              <w:rPr>
                                <w:rFonts w:eastAsia="MS PMincho"/>
                                <w:lang w:eastAsia="ja-JP"/>
                              </w:rPr>
                            </w:pPr>
                            <w:r>
                              <w:rPr>
                                <w:rFonts w:eastAsia="MS PMincho"/>
                                <w:lang w:eastAsia="ja-JP"/>
                              </w:rPr>
                              <w:t xml:space="preserve">Study on other aspects of potential PTRS enhancement (e.g., decreased PTRS frequency density) is not precluded </w:t>
                            </w:r>
                          </w:p>
                          <w:p>
                            <w:pPr>
                              <w:rPr>
                                <w:rFonts w:ascii="Times New Roman" w:hAnsi="Times New Roman"/>
                                <w:sz w:val="22"/>
                                <w:szCs w:val="22"/>
                                <w:lang w:eastAsia="zh-CN"/>
                              </w:rPr>
                            </w:pPr>
                            <w:r>
                              <w:rPr>
                                <w:rFonts w:ascii="Times New Roman" w:hAnsi="Times New Roman"/>
                                <w:sz w:val="22"/>
                                <w:szCs w:val="22"/>
                                <w:highlight w:val="green"/>
                                <w:lang w:eastAsia="zh-CN"/>
                              </w:rPr>
                              <w:t>Agreement</w:t>
                            </w:r>
                            <w:r>
                              <w:rPr>
                                <w:rFonts w:hint="eastAsia" w:ascii="Times New Roman" w:hAnsi="Times New Roman"/>
                                <w:sz w:val="22"/>
                                <w:szCs w:val="22"/>
                                <w:highlight w:val="green"/>
                                <w:lang w:val="en-US" w:eastAsia="zh-CN"/>
                              </w:rPr>
                              <w:t xml:space="preserve"> in 106-e</w:t>
                            </w:r>
                            <w:r>
                              <w:rPr>
                                <w:rFonts w:ascii="Times New Roman" w:hAnsi="Times New Roman"/>
                                <w:sz w:val="22"/>
                                <w:szCs w:val="22"/>
                                <w:highlight w:val="green"/>
                                <w:lang w:eastAsia="zh-CN"/>
                              </w:rPr>
                              <w:t>:</w:t>
                            </w:r>
                          </w:p>
                          <w:p>
                            <w:pPr>
                              <w:rPr>
                                <w:rFonts w:ascii="Times New Roman" w:hAnsi="Times New Roman"/>
                                <w:sz w:val="22"/>
                                <w:szCs w:val="22"/>
                                <w:lang w:val="en-US" w:eastAsia="zh-CN"/>
                              </w:rPr>
                            </w:pPr>
                            <w:r>
                              <w:rPr>
                                <w:rFonts w:ascii="Times New Roman" w:hAnsi="Times New Roman"/>
                                <w:sz w:val="22"/>
                                <w:szCs w:val="22"/>
                                <w:lang w:eastAsia="zh-CN"/>
                              </w:rPr>
                              <w:t>Further study and conclude on whether to introduce K=1 for Rel-15 PTRS pattern for CP-OFDM with small (&lt; =32) RB allocation by RAN1#106b.</w:t>
                            </w:r>
                          </w:p>
                          <w:p>
                            <w:pPr>
                              <w:numPr>
                                <w:ilvl w:val="-1"/>
                                <w:numId w:val="0"/>
                              </w:numPr>
                              <w:overflowPunct w:val="0"/>
                              <w:autoSpaceDE w:val="0"/>
                              <w:autoSpaceDN w:val="0"/>
                              <w:adjustRightInd w:val="0"/>
                              <w:spacing w:after="0"/>
                              <w:ind w:left="0" w:firstLine="0"/>
                              <w:jc w:val="both"/>
                              <w:textAlignment w:val="baseline"/>
                              <w:rPr>
                                <w:rFonts w:eastAsia="MS PMincho"/>
                                <w:lang w:eastAsia="ja-JP"/>
                              </w:rPr>
                            </w:pPr>
                          </w:p>
                          <w:p>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w:pict>
              <v:shape id="Text Box 2" o:spid="_x0000_s1026" o:spt="202" type="#_x0000_t202" style="height:248.8pt;width:479.4pt;" fillcolor="#FFFFFF" filled="t" stroked="t" coordsize="21600,21600" o:gfxdata="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W6v69YAAAAFAQAADwAAAAAAAAABACAA&#10;AAAiAAAAZHJzL2Rvd25yZXYueG1sUEsBAhQAFAAAAAgAh07iQFzWlCYPAgAALQQAAA4AAAAAAAAA&#10;AQAgAAAAJQEAAGRycy9lMm9Eb2MueG1sUEsFBgAAAAAGAAYAWQEAAKYFAAAAAA==&#10;">
                <v:fill on="t" focussize="0,0"/>
                <v:stroke color="#000000" miterlimit="8" joinstyle="miter"/>
                <v:imagedata o:title=""/>
                <o:lock v:ext="edit" aspectratio="f"/>
                <v:textbo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numPr>
                          <w:ilvl w:val="0"/>
                          <w:numId w:val="16"/>
                        </w:numPr>
                        <w:ind w:left="720"/>
                        <w:rPr>
                          <w:rFonts w:eastAsia="Batang"/>
                        </w:rPr>
                      </w:pPr>
                      <w:r>
                        <w:rPr>
                          <w:rFonts w:eastAsia="Batang"/>
                          <w:lang w:eastAsia="zh-CN"/>
                        </w:rPr>
                        <w:t>In Rel-17, for NR operation in 52.6 – 71 GHz, conclude that increased PTRS frequency density</w:t>
                      </w:r>
                      <w:r>
                        <w:rPr>
                          <w:rFonts w:eastAsia="Batang"/>
                        </w:rPr>
                        <w:t xml:space="preserve"> is not supported for CP-OFDM at least for Rel-15 PTRS pattern when the allocated number of RB &gt; 32</w:t>
                      </w:r>
                    </w:p>
                    <w:p>
                      <w:pPr>
                        <w:numPr>
                          <w:ilvl w:val="0"/>
                          <w:numId w:val="16"/>
                        </w:numPr>
                        <w:overflowPunct w:val="0"/>
                        <w:autoSpaceDE w:val="0"/>
                        <w:autoSpaceDN w:val="0"/>
                        <w:adjustRightInd w:val="0"/>
                        <w:spacing w:after="0"/>
                        <w:ind w:left="720"/>
                        <w:jc w:val="both"/>
                        <w:textAlignment w:val="baseline"/>
                        <w:rPr>
                          <w:rFonts w:eastAsia="MS PMincho"/>
                          <w:lang w:eastAsia="ja-JP"/>
                        </w:rPr>
                      </w:pPr>
                      <w:r>
                        <w:rPr>
                          <w:rFonts w:eastAsia="MS PMincho"/>
                          <w:lang w:eastAsia="ja-JP"/>
                        </w:rPr>
                        <w:t xml:space="preserve">Companies are encouraged to study whether to increase PTRS frequency density for small RB allocations </w:t>
                      </w:r>
                      <w:r>
                        <w:rPr>
                          <w:rFonts w:eastAsia="Batang"/>
                        </w:rPr>
                        <w:t>for CP-OFDM for NR operation in 52.6 to 71 GHz with respect to phase noise compensation performance</w:t>
                      </w:r>
                    </w:p>
                    <w:p>
                      <w:pPr>
                        <w:numPr>
                          <w:ilvl w:val="1"/>
                          <w:numId w:val="16"/>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CPE and ICI PN compensation</w:t>
                      </w:r>
                    </w:p>
                    <w:p>
                      <w:pPr>
                        <w:numPr>
                          <w:ilvl w:val="2"/>
                          <w:numId w:val="16"/>
                        </w:numPr>
                        <w:overflowPunct w:val="0"/>
                        <w:autoSpaceDE w:val="0"/>
                        <w:autoSpaceDN w:val="0"/>
                        <w:adjustRightInd w:val="0"/>
                        <w:spacing w:after="0" w:line="280" w:lineRule="atLeast"/>
                        <w:ind w:left="2160"/>
                        <w:jc w:val="both"/>
                        <w:textAlignment w:val="baseline"/>
                        <w:rPr>
                          <w:rFonts w:eastAsia="MS PMincho"/>
                          <w:lang w:eastAsia="ja-JP"/>
                        </w:rPr>
                      </w:pPr>
                      <w:r>
                        <w:rPr>
                          <w:rFonts w:eastAsia="MS PMincho"/>
                          <w:lang w:eastAsia="ja-JP"/>
                        </w:rPr>
                        <w:t>Note: Results for CPE compensation-only are to be reported for reference</w:t>
                      </w:r>
                    </w:p>
                    <w:p>
                      <w:pPr>
                        <w:numPr>
                          <w:ilvl w:val="1"/>
                          <w:numId w:val="16"/>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(K = 0.5, L = 1), (K = 1, L = 1), (K = 2, L = 1),</w:t>
                      </w:r>
                    </w:p>
                    <w:p>
                      <w:pPr>
                        <w:numPr>
                          <w:ilvl w:val="2"/>
                          <w:numId w:val="16"/>
                        </w:numPr>
                        <w:overflowPunct w:val="0"/>
                        <w:autoSpaceDE w:val="0"/>
                        <w:autoSpaceDN w:val="0"/>
                        <w:adjustRightInd w:val="0"/>
                        <w:spacing w:after="0"/>
                        <w:ind w:left="2160"/>
                        <w:jc w:val="both"/>
                        <w:textAlignment w:val="baseline"/>
                        <w:rPr>
                          <w:rFonts w:eastAsia="MS PMincho"/>
                          <w:lang w:eastAsia="ja-JP"/>
                        </w:rPr>
                      </w:pPr>
                      <w:r>
                        <w:rPr>
                          <w:rFonts w:eastAsia="MS PMincho"/>
                          <w:lang w:eastAsia="ja-JP"/>
                        </w:rPr>
                        <w:t>Note: PTRS per K number of PRBs, and PTRS every L number of OFDM symbols</w:t>
                      </w:r>
                    </w:p>
                    <w:p>
                      <w:pPr>
                        <w:numPr>
                          <w:ilvl w:val="1"/>
                          <w:numId w:val="16"/>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Number of RBs: 8, 16, 32</w:t>
                      </w:r>
                    </w:p>
                    <w:p>
                      <w:pPr>
                        <w:numPr>
                          <w:ilvl w:val="1"/>
                          <w:numId w:val="16"/>
                        </w:numPr>
                        <w:overflowPunct w:val="0"/>
                        <w:autoSpaceDE w:val="0"/>
                        <w:autoSpaceDN w:val="0"/>
                        <w:adjustRightInd w:val="0"/>
                        <w:spacing w:after="0"/>
                        <w:ind w:left="1440"/>
                        <w:jc w:val="both"/>
                        <w:textAlignment w:val="baseline"/>
                        <w:rPr>
                          <w:rFonts w:eastAsia="MS PMincho"/>
                          <w:lang w:eastAsia="ja-JP"/>
                        </w:rPr>
                      </w:pPr>
                      <w:r>
                        <w:rPr>
                          <w:rFonts w:eastAsia="MS PMincho"/>
                          <w:lang w:eastAsia="ja-JP"/>
                        </w:rPr>
                        <w:t xml:space="preserve">Other values of K and number of RBs are not precluded </w:t>
                      </w:r>
                    </w:p>
                    <w:p>
                      <w:pPr>
                        <w:numPr>
                          <w:ilvl w:val="0"/>
                          <w:numId w:val="16"/>
                        </w:numPr>
                        <w:overflowPunct w:val="0"/>
                        <w:autoSpaceDE w:val="0"/>
                        <w:autoSpaceDN w:val="0"/>
                        <w:adjustRightInd w:val="0"/>
                        <w:spacing w:after="0"/>
                        <w:ind w:left="720"/>
                        <w:jc w:val="both"/>
                        <w:textAlignment w:val="baseline"/>
                        <w:rPr>
                          <w:rFonts w:eastAsia="MS PMincho"/>
                          <w:lang w:eastAsia="ja-JP"/>
                        </w:rPr>
                      </w:pPr>
                      <w:r>
                        <w:rPr>
                          <w:rFonts w:eastAsia="MS PMincho"/>
                          <w:lang w:eastAsia="ja-JP"/>
                        </w:rPr>
                        <w:t xml:space="preserve">Study on other aspects of potential PTRS enhancement (e.g., decreased PTRS frequency density) is not precluded </w:t>
                      </w:r>
                    </w:p>
                    <w:p>
                      <w:pPr>
                        <w:rPr>
                          <w:rFonts w:ascii="Times New Roman" w:hAnsi="Times New Roman"/>
                          <w:sz w:val="22"/>
                          <w:szCs w:val="22"/>
                          <w:lang w:eastAsia="zh-CN"/>
                        </w:rPr>
                      </w:pPr>
                      <w:r>
                        <w:rPr>
                          <w:rFonts w:ascii="Times New Roman" w:hAnsi="Times New Roman"/>
                          <w:sz w:val="22"/>
                          <w:szCs w:val="22"/>
                          <w:highlight w:val="green"/>
                          <w:lang w:eastAsia="zh-CN"/>
                        </w:rPr>
                        <w:t>Agreement</w:t>
                      </w:r>
                      <w:r>
                        <w:rPr>
                          <w:rFonts w:hint="eastAsia" w:ascii="Times New Roman" w:hAnsi="Times New Roman"/>
                          <w:sz w:val="22"/>
                          <w:szCs w:val="22"/>
                          <w:highlight w:val="green"/>
                          <w:lang w:val="en-US" w:eastAsia="zh-CN"/>
                        </w:rPr>
                        <w:t xml:space="preserve"> in 106-e</w:t>
                      </w:r>
                      <w:r>
                        <w:rPr>
                          <w:rFonts w:ascii="Times New Roman" w:hAnsi="Times New Roman"/>
                          <w:sz w:val="22"/>
                          <w:szCs w:val="22"/>
                          <w:highlight w:val="green"/>
                          <w:lang w:eastAsia="zh-CN"/>
                        </w:rPr>
                        <w:t>:</w:t>
                      </w:r>
                    </w:p>
                    <w:p>
                      <w:pPr>
                        <w:rPr>
                          <w:rFonts w:ascii="Times New Roman" w:hAnsi="Times New Roman"/>
                          <w:sz w:val="22"/>
                          <w:szCs w:val="22"/>
                          <w:lang w:val="en-US" w:eastAsia="zh-CN"/>
                        </w:rPr>
                      </w:pPr>
                      <w:r>
                        <w:rPr>
                          <w:rFonts w:ascii="Times New Roman" w:hAnsi="Times New Roman"/>
                          <w:sz w:val="22"/>
                          <w:szCs w:val="22"/>
                          <w:lang w:eastAsia="zh-CN"/>
                        </w:rPr>
                        <w:t>Further study and conclude on whether to introduce K=1 for Rel-15 PTRS pattern for CP-OFDM with small (&lt; =32) RB allocation by RAN1#106b.</w:t>
                      </w:r>
                    </w:p>
                    <w:p>
                      <w:pPr>
                        <w:numPr>
                          <w:ilvl w:val="-1"/>
                          <w:numId w:val="0"/>
                        </w:numPr>
                        <w:overflowPunct w:val="0"/>
                        <w:autoSpaceDE w:val="0"/>
                        <w:autoSpaceDN w:val="0"/>
                        <w:adjustRightInd w:val="0"/>
                        <w:spacing w:after="0"/>
                        <w:ind w:left="0" w:firstLine="0"/>
                        <w:jc w:val="both"/>
                        <w:textAlignment w:val="baseline"/>
                        <w:rPr>
                          <w:rFonts w:eastAsia="MS PMincho"/>
                          <w:lang w:eastAsia="ja-JP"/>
                        </w:rPr>
                      </w:pPr>
                    </w:p>
                    <w:p>
                      <w:pPr>
                        <w:numPr>
                          <w:ilvl w:val="255"/>
                          <w:numId w:val="0"/>
                        </w:numPr>
                        <w:spacing w:after="0" w:line="240" w:lineRule="auto"/>
                        <w:rPr>
                          <w:b/>
                          <w:bCs/>
                          <w:lang w:eastAsia="zh-CN"/>
                        </w:rPr>
                      </w:pPr>
                    </w:p>
                  </w:txbxContent>
                </v:textbox>
                <w10:wrap type="none"/>
                <w10:anchorlock/>
              </v:shape>
            </w:pict>
          </mc:Fallback>
        </mc:AlternateContent>
      </w:r>
    </w:p>
    <w:p>
      <w:pPr>
        <w:jc w:val="both"/>
        <w:rPr>
          <w:rFonts w:hint="default" w:eastAsia="宋体"/>
          <w:lang w:val="en-US" w:eastAsia="zh-CN"/>
        </w:rPr>
      </w:pPr>
      <w:r>
        <w:rPr>
          <w:rFonts w:hint="eastAsia" w:eastAsia="宋体"/>
          <w:lang w:val="en-US" w:eastAsia="zh-CN"/>
        </w:rPr>
        <w:t xml:space="preserve">We consider 2 types of PN compensation method, i.e. CPE and ICI, both based on the legacy PTRS pattern in Rel-15. For RB number and K, the values in the agreement are assumed. As suggested by the moderator, for other parameters not mentioned, we strictly follow the mandatory parameters in the agreed simulation assumption. </w:t>
      </w:r>
      <w:r>
        <w:rPr>
          <w:rFonts w:hint="eastAsia"/>
          <w:lang w:val="en-US" w:eastAsia="zh-CN"/>
        </w:rPr>
        <w:t>In this section, the PTRS compensation algorithm is assumed as De-ICI compensation for both legacy and block PTRS.</w:t>
      </w:r>
    </w:p>
    <w:p>
      <w:r>
        <w:rPr>
          <w:lang w:val="en-US" w:eastAsia="zh-CN"/>
        </w:rPr>
        <w:drawing>
          <wp:inline distT="0" distB="0" distL="114300" distR="114300">
            <wp:extent cx="2919095" cy="2188845"/>
            <wp:effectExtent l="0" t="0" r="14605"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2919095" cy="2188845"/>
                    </a:xfrm>
                    <a:prstGeom prst="rect">
                      <a:avLst/>
                    </a:prstGeom>
                    <a:noFill/>
                    <a:ln>
                      <a:noFill/>
                    </a:ln>
                  </pic:spPr>
                </pic:pic>
              </a:graphicData>
            </a:graphic>
          </wp:inline>
        </w:drawing>
      </w:r>
      <w:r>
        <w:rPr>
          <w:lang w:val="en-US" w:eastAsia="zh-CN"/>
        </w:rPr>
        <w:drawing>
          <wp:inline distT="0" distB="0" distL="114300" distR="114300">
            <wp:extent cx="2888615" cy="2165985"/>
            <wp:effectExtent l="0" t="0" r="6985"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2888615" cy="2165985"/>
                    </a:xfrm>
                    <a:prstGeom prst="rect">
                      <a:avLst/>
                    </a:prstGeom>
                    <a:noFill/>
                    <a:ln>
                      <a:noFill/>
                    </a:ln>
                  </pic:spPr>
                </pic:pic>
              </a:graphicData>
            </a:graphic>
          </wp:inline>
        </w:drawing>
      </w:r>
    </w:p>
    <w:p>
      <w:pPr>
        <w:numPr>
          <w:ilvl w:val="0"/>
          <w:numId w:val="17"/>
        </w:numPr>
        <w:jc w:val="center"/>
        <w:rPr>
          <w:rFonts w:eastAsia="宋体"/>
          <w:lang w:val="en-US" w:eastAsia="zh-CN"/>
        </w:rPr>
      </w:pPr>
      <w:r>
        <w:rPr>
          <w:rFonts w:hint="eastAsia" w:eastAsia="宋体"/>
          <w:lang w:val="en-US" w:eastAsia="zh-CN"/>
        </w:rPr>
        <w:t>TDL-A 5ns, 8 PRBs, 120kHz(left)/480kHz(right)</w:t>
      </w:r>
    </w:p>
    <w:p/>
    <w:p>
      <w:r>
        <w:rPr>
          <w:lang w:val="en-US" w:eastAsia="zh-CN"/>
        </w:rPr>
        <w:drawing>
          <wp:inline distT="0" distB="0" distL="114300" distR="114300">
            <wp:extent cx="2924175" cy="2193290"/>
            <wp:effectExtent l="0" t="0" r="9525" b="165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2924175" cy="2193290"/>
                    </a:xfrm>
                    <a:prstGeom prst="rect">
                      <a:avLst/>
                    </a:prstGeom>
                    <a:noFill/>
                    <a:ln>
                      <a:noFill/>
                    </a:ln>
                  </pic:spPr>
                </pic:pic>
              </a:graphicData>
            </a:graphic>
          </wp:inline>
        </w:drawing>
      </w:r>
      <w:r>
        <w:rPr>
          <w:lang w:val="en-US" w:eastAsia="zh-CN"/>
        </w:rPr>
        <w:drawing>
          <wp:inline distT="0" distB="0" distL="114300" distR="114300">
            <wp:extent cx="2926080" cy="2195195"/>
            <wp:effectExtent l="0" t="0" r="7620" b="146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
                    <a:stretch>
                      <a:fillRect/>
                    </a:stretch>
                  </pic:blipFill>
                  <pic:spPr>
                    <a:xfrm>
                      <a:off x="0" y="0"/>
                      <a:ext cx="2926080" cy="2195195"/>
                    </a:xfrm>
                    <a:prstGeom prst="rect">
                      <a:avLst/>
                    </a:prstGeom>
                    <a:noFill/>
                    <a:ln>
                      <a:noFill/>
                    </a:ln>
                  </pic:spPr>
                </pic:pic>
              </a:graphicData>
            </a:graphic>
          </wp:inline>
        </w:drawing>
      </w:r>
    </w:p>
    <w:p>
      <w:pPr>
        <w:numPr>
          <w:ilvl w:val="0"/>
          <w:numId w:val="17"/>
        </w:numPr>
        <w:jc w:val="center"/>
      </w:pPr>
      <w:r>
        <w:rPr>
          <w:rFonts w:hint="eastAsia" w:eastAsia="宋体"/>
          <w:lang w:val="en-US" w:eastAsia="zh-CN"/>
        </w:rPr>
        <w:t>TDL-A 5ns, 16 PRBs, 120kHz(left)/480kHz(right)</w:t>
      </w:r>
    </w:p>
    <w:p>
      <w:r>
        <w:rPr>
          <w:lang w:val="en-US" w:eastAsia="zh-CN"/>
        </w:rPr>
        <w:drawing>
          <wp:inline distT="0" distB="0" distL="114300" distR="114300">
            <wp:extent cx="2878455" cy="2158365"/>
            <wp:effectExtent l="0" t="0" r="17145" b="133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2878455" cy="2158365"/>
                    </a:xfrm>
                    <a:prstGeom prst="rect">
                      <a:avLst/>
                    </a:prstGeom>
                    <a:noFill/>
                    <a:ln>
                      <a:noFill/>
                    </a:ln>
                  </pic:spPr>
                </pic:pic>
              </a:graphicData>
            </a:graphic>
          </wp:inline>
        </w:drawing>
      </w:r>
      <w:r>
        <w:rPr>
          <w:lang w:val="en-US" w:eastAsia="zh-CN"/>
        </w:rPr>
        <w:drawing>
          <wp:inline distT="0" distB="0" distL="114300" distR="114300">
            <wp:extent cx="2985135" cy="2239010"/>
            <wp:effectExtent l="0" t="0" r="5715" b="889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18"/>
                    <a:stretch>
                      <a:fillRect/>
                    </a:stretch>
                  </pic:blipFill>
                  <pic:spPr>
                    <a:xfrm>
                      <a:off x="0" y="0"/>
                      <a:ext cx="2985135" cy="2239010"/>
                    </a:xfrm>
                    <a:prstGeom prst="rect">
                      <a:avLst/>
                    </a:prstGeom>
                    <a:noFill/>
                    <a:ln>
                      <a:noFill/>
                    </a:ln>
                  </pic:spPr>
                </pic:pic>
              </a:graphicData>
            </a:graphic>
          </wp:inline>
        </w:drawing>
      </w:r>
    </w:p>
    <w:p>
      <w:pPr>
        <w:numPr>
          <w:ilvl w:val="0"/>
          <w:numId w:val="17"/>
        </w:numPr>
        <w:jc w:val="center"/>
        <w:rPr>
          <w:rFonts w:eastAsia="宋体"/>
          <w:lang w:val="en-US" w:eastAsia="zh-CN"/>
        </w:rPr>
      </w:pPr>
      <w:r>
        <w:rPr>
          <w:rFonts w:hint="eastAsia" w:eastAsia="宋体"/>
          <w:lang w:val="en-US" w:eastAsia="zh-CN"/>
        </w:rPr>
        <w:t>TDL-A 5ns, 32 PRBs, 120kHz(left)/480kHz(right)</w:t>
      </w:r>
    </w:p>
    <w:p>
      <w:pPr>
        <w:jc w:val="center"/>
        <w:rPr>
          <w:rFonts w:eastAsia="宋体"/>
          <w:lang w:val="en-US" w:eastAsia="zh-CN"/>
        </w:rPr>
      </w:pPr>
      <w:r>
        <w:rPr>
          <w:rFonts w:hint="eastAsia" w:eastAsia="宋体"/>
          <w:lang w:val="en-US" w:eastAsia="zh-CN"/>
        </w:rPr>
        <w:t>Figure 2.4.1-1 Comparison of different PTRS density</w:t>
      </w:r>
    </w:p>
    <w:p>
      <w:pPr>
        <w:jc w:val="both"/>
        <w:rPr>
          <w:lang w:val="en-US" w:eastAsia="zh-CN"/>
        </w:rPr>
      </w:pPr>
      <w:r>
        <w:rPr>
          <w:rFonts w:hint="eastAsia"/>
          <w:lang w:val="en-US" w:eastAsia="zh-CN"/>
        </w:rPr>
        <w:t xml:space="preserve">As shown in Figure 2.4.1-1, </w:t>
      </w:r>
    </w:p>
    <w:p>
      <w:pPr>
        <w:numPr>
          <w:ilvl w:val="0"/>
          <w:numId w:val="18"/>
        </w:numPr>
        <w:jc w:val="both"/>
        <w:rPr>
          <w:lang w:val="en-US" w:eastAsia="zh-CN"/>
        </w:rPr>
      </w:pPr>
      <w:r>
        <w:rPr>
          <w:rFonts w:hint="eastAsia"/>
          <w:lang w:val="en-US" w:eastAsia="zh-CN"/>
        </w:rPr>
        <w:t>For ICI compensation, the performance gets better with the increasing PTRS density, the gain becomes significant (&gt;2dB) when PRB number is 8.</w:t>
      </w:r>
    </w:p>
    <w:p>
      <w:pPr>
        <w:numPr>
          <w:ilvl w:val="0"/>
          <w:numId w:val="18"/>
        </w:numPr>
        <w:jc w:val="both"/>
        <w:rPr>
          <w:lang w:val="en-US" w:eastAsia="zh-CN"/>
        </w:rPr>
      </w:pPr>
      <w:r>
        <w:rPr>
          <w:rFonts w:hint="eastAsia"/>
          <w:lang w:val="en-US" w:eastAsia="zh-CN"/>
        </w:rPr>
        <w:t>For CPE compensation, the performance of different PTRS density is similar, less than 1dB gain is observed for higher density when PRB number is 8.</w:t>
      </w:r>
    </w:p>
    <w:p>
      <w:pPr>
        <w:numPr>
          <w:ilvl w:val="0"/>
          <w:numId w:val="18"/>
        </w:numPr>
        <w:jc w:val="both"/>
        <w:rPr>
          <w:lang w:val="en-US" w:eastAsia="zh-CN"/>
        </w:rPr>
      </w:pPr>
      <w:r>
        <w:rPr>
          <w:rFonts w:hint="eastAsia"/>
          <w:lang w:val="en-US" w:eastAsia="zh-CN"/>
        </w:rPr>
        <w:t>When PRB number is not larger than 32, CPE compensation with lower PTRS density can achieve similar or better performance than ICI compensation with higher density.</w:t>
      </w:r>
    </w:p>
    <w:p>
      <w:pPr>
        <w:rPr>
          <w:lang w:val="en-US" w:eastAsia="zh-CN"/>
        </w:rPr>
      </w:pPr>
      <w:r>
        <w:rPr>
          <w:rFonts w:hint="eastAsia"/>
          <w:lang w:val="en-US" w:eastAsia="zh-CN"/>
        </w:rPr>
        <w:t>Therefore, we have the following observation and proposal,</w:t>
      </w:r>
    </w:p>
    <w:p>
      <w:pPr>
        <w:jc w:val="both"/>
        <w:rPr>
          <w:b/>
          <w:bCs/>
          <w:lang w:val="en-US" w:eastAsia="zh-CN"/>
        </w:rPr>
      </w:pPr>
      <w:r>
        <w:rPr>
          <w:rFonts w:hint="eastAsia"/>
          <w:b/>
          <w:bCs/>
          <w:lang w:val="en-US" w:eastAsia="zh-CN"/>
        </w:rPr>
        <w:t>Observation 1: When PRB number is not larger than 32, CPE compensation with lower PTRS density can achieve similar or better performance than ICI compensation with higher PTRS density.</w:t>
      </w:r>
    </w:p>
    <w:p>
      <w:pPr>
        <w:jc w:val="both"/>
        <w:rPr>
          <w:rFonts w:eastAsia="宋体"/>
          <w:b/>
          <w:bCs/>
          <w:lang w:val="en-US" w:eastAsia="zh-CN"/>
        </w:rPr>
      </w:pPr>
      <w:r>
        <w:rPr>
          <w:rFonts w:hint="eastAsia"/>
          <w:b/>
          <w:bCs/>
          <w:lang w:val="en-US" w:eastAsia="zh-CN"/>
        </w:rPr>
        <w:t xml:space="preserve">Proposal 11: Do not </w:t>
      </w:r>
      <w:r>
        <w:rPr>
          <w:rFonts w:ascii="Times New Roman" w:hAnsi="Times New Roman"/>
          <w:b/>
          <w:bCs/>
          <w:sz w:val="22"/>
          <w:szCs w:val="22"/>
          <w:lang w:eastAsia="zh-CN"/>
        </w:rPr>
        <w:t>introduce K=1 for Rel-15 PTRS pattern for CP-OFDM with small (&lt; =32) RB allocation</w:t>
      </w:r>
      <w:r>
        <w:rPr>
          <w:rFonts w:hint="eastAsia" w:eastAsia="宋体"/>
          <w:b/>
          <w:bCs/>
          <w:lang w:val="en-US" w:eastAsia="zh-CN"/>
        </w:rPr>
        <w:t>.</w:t>
      </w:r>
    </w:p>
    <w:p>
      <w:pPr>
        <w:numPr>
          <w:ilvl w:val="0"/>
          <w:numId w:val="19"/>
        </w:numPr>
        <w:rPr>
          <w:rFonts w:eastAsia="宋体"/>
          <w:lang w:val="en-US" w:eastAsia="zh-CN"/>
        </w:rPr>
      </w:pPr>
      <w:r>
        <w:rPr>
          <w:rFonts w:hint="eastAsia" w:eastAsia="宋体"/>
          <w:lang w:val="en-US" w:eastAsia="zh-CN"/>
        </w:rPr>
        <w:t>Block PTRS with cyclic sequence</w:t>
      </w:r>
    </w:p>
    <w:p>
      <w:pPr>
        <w:jc w:val="both"/>
        <w:rPr>
          <w:lang w:val="en-US" w:eastAsia="zh-CN"/>
        </w:rPr>
      </w:pPr>
      <w:r>
        <w:rPr>
          <w:rFonts w:hint="eastAsia"/>
          <w:lang w:val="en-US" w:eastAsia="zh-CN"/>
        </w:rPr>
        <w:t>In RAN1 #104b-e meeting, the following agreement is achieved to encourage companies to evaluate the RS enhancements with the mandatory parameters in the evaluation assumption.</w:t>
      </w:r>
    </w:p>
    <w:p>
      <w:pPr>
        <w:rPr>
          <w:lang w:val="en-US" w:eastAsia="zh-CN"/>
        </w:rPr>
      </w:pPr>
      <w:r>
        <w:rPr>
          <w:rFonts w:ascii="Arial" w:hAnsi="Arial" w:cs="Arial"/>
          <w:color w:val="000000"/>
          <w:lang w:val="en-US" w:eastAsia="zh-CN"/>
        </w:rPr>
        <mc:AlternateContent>
          <mc:Choice Requires="wps">
            <w:drawing>
              <wp:inline distT="0" distB="0" distL="0" distR="0">
                <wp:extent cx="6088380" cy="2924175"/>
                <wp:effectExtent l="4445" t="4445" r="18415" b="12700"/>
                <wp:docPr id="50"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88380" cy="2924175"/>
                        </a:xfrm>
                        <a:prstGeom prst="rect">
                          <a:avLst/>
                        </a:prstGeom>
                        <a:solidFill>
                          <a:srgbClr val="FFFFFF"/>
                        </a:solidFill>
                        <a:ln w="9525">
                          <a:solidFill>
                            <a:srgbClr val="000000"/>
                          </a:solidFill>
                          <a:miter lim="800000"/>
                        </a:ln>
                      </wps:spPr>
                      <wps:txb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numPr>
                                <w:ilvl w:val="0"/>
                                <w:numId w:val="16"/>
                              </w:numPr>
                              <w:rPr>
                                <w:rFonts w:ascii="Times" w:hAnsi="Times" w:eastAsia="Batang" w:cs="Times"/>
                                <w:lang w:eastAsia="zh-CN"/>
                              </w:rPr>
                            </w:pPr>
                            <w:r>
                              <w:rPr>
                                <w:rFonts w:ascii="Times" w:hAnsi="Times" w:eastAsia="Batang" w:cs="Times"/>
                                <w:lang w:eastAsia="zh-CN"/>
                              </w:rPr>
                              <w:t>It is recommended to strictly follow and evaluate at least based on assumptions which are not optional in previous agreed LLS assumptions for study of potential RS enhancements for NR operation in 52.6 to 71 GHz.</w:t>
                            </w:r>
                          </w:p>
                          <w:p>
                            <w:pPr>
                              <w:numPr>
                                <w:ilvl w:val="1"/>
                                <w:numId w:val="16"/>
                              </w:numPr>
                              <w:rPr>
                                <w:rFonts w:ascii="Times" w:hAnsi="Times" w:eastAsia="Batang" w:cs="Times"/>
                                <w:lang w:eastAsia="zh-CN"/>
                              </w:rPr>
                            </w:pPr>
                            <w:r>
                              <w:rPr>
                                <w:rFonts w:ascii="Times" w:hAnsi="Times" w:eastAsia="Batang" w:cs="Times"/>
                                <w:lang w:eastAsia="zh-CN"/>
                              </w:rPr>
                              <w:t>Note: evaluation based on optional model/scenario/parameter values are not precluded from being considered for discussion and decisions</w:t>
                            </w:r>
                          </w:p>
                          <w:p>
                            <w:pPr>
                              <w:numPr>
                                <w:ilvl w:val="0"/>
                                <w:numId w:val="16"/>
                              </w:numPr>
                              <w:overflowPunct w:val="0"/>
                              <w:autoSpaceDE w:val="0"/>
                              <w:autoSpaceDN w:val="0"/>
                              <w:adjustRightInd w:val="0"/>
                              <w:spacing w:after="0"/>
                              <w:jc w:val="both"/>
                              <w:textAlignment w:val="baseline"/>
                              <w:rPr>
                                <w:rFonts w:ascii="Times" w:hAnsi="Times" w:eastAsia="MS PMincho" w:cs="Times"/>
                                <w:lang w:eastAsia="ja-JP"/>
                              </w:rPr>
                            </w:pPr>
                            <w:r>
                              <w:rPr>
                                <w:rFonts w:ascii="Times" w:hAnsi="Times" w:eastAsia="MS PMincho" w:cs="Times"/>
                                <w:lang w:eastAsia="ja-JP"/>
                              </w:rPr>
                              <w:t>Companies are encouraged to report results (along with previously reported aspects and cubic metric for power boosting aspects) at least for SINR in dB achieving PDSCH/PUSCH BLER of 10% in a numerical and tabular way (e.g. adapted from LLS result report template in SI).</w:t>
                            </w:r>
                          </w:p>
                          <w:p>
                            <w:pPr>
                              <w:rPr>
                                <w:rFonts w:ascii="Times New Roman" w:hAnsi="Times New Roman"/>
                                <w:sz w:val="22"/>
                                <w:szCs w:val="22"/>
                                <w:lang w:eastAsia="zh-CN"/>
                              </w:rPr>
                            </w:pPr>
                            <w:r>
                              <w:rPr>
                                <w:rFonts w:ascii="Times New Roman" w:hAnsi="Times New Roman"/>
                                <w:sz w:val="22"/>
                                <w:szCs w:val="22"/>
                                <w:highlight w:val="green"/>
                                <w:lang w:eastAsia="zh-CN"/>
                              </w:rPr>
                              <w:t>Agreement</w:t>
                            </w:r>
                            <w:r>
                              <w:rPr>
                                <w:rFonts w:hint="eastAsia" w:ascii="Times New Roman" w:hAnsi="Times New Roman"/>
                                <w:sz w:val="22"/>
                                <w:szCs w:val="22"/>
                                <w:highlight w:val="green"/>
                                <w:lang w:val="en-US" w:eastAsia="zh-CN"/>
                              </w:rPr>
                              <w:t xml:space="preserve"> in 106-e</w:t>
                            </w:r>
                            <w:r>
                              <w:rPr>
                                <w:rFonts w:ascii="Times New Roman" w:hAnsi="Times New Roman"/>
                                <w:sz w:val="22"/>
                                <w:szCs w:val="22"/>
                                <w:highlight w:val="green"/>
                                <w:lang w:eastAsia="zh-CN"/>
                              </w:rPr>
                              <w:t>:</w:t>
                            </w:r>
                          </w:p>
                          <w:p>
                            <w:pPr>
                              <w:rPr>
                                <w:rFonts w:ascii="Times New Roman" w:hAnsi="Times New Roman"/>
                                <w:sz w:val="22"/>
                                <w:szCs w:val="22"/>
                                <w:lang w:val="en-US" w:eastAsia="zh-CN"/>
                              </w:rPr>
                            </w:pPr>
                            <w:r>
                              <w:rPr>
                                <w:rFonts w:ascii="Times New Roman" w:hAnsi="Times New Roman"/>
                                <w:sz w:val="22"/>
                                <w:szCs w:val="22"/>
                                <w:lang w:eastAsia="zh-CN"/>
                              </w:rPr>
                              <w:t>Further study and conclude on whether to introduce any PTRS enhancement for CP-OFDM by RAN1#106b.</w:t>
                            </w:r>
                          </w:p>
                          <w:p>
                            <w:pPr>
                              <w:pStyle w:val="132"/>
                              <w:numPr>
                                <w:ilvl w:val="0"/>
                                <w:numId w:val="20"/>
                              </w:numPr>
                              <w:spacing w:line="252" w:lineRule="auto"/>
                              <w:ind w:leftChars="0"/>
                              <w:rPr>
                                <w:rFonts w:ascii="Times New Roman" w:hAnsi="Times New Roman"/>
                                <w:sz w:val="22"/>
                                <w:szCs w:val="22"/>
                                <w:lang w:eastAsia="zh-CN"/>
                              </w:rPr>
                            </w:pPr>
                            <w:r>
                              <w:rPr>
                                <w:rFonts w:ascii="Times New Roman" w:hAnsi="Times New Roman"/>
                                <w:sz w:val="22"/>
                                <w:szCs w:val="22"/>
                                <w:lang w:eastAsia="zh-CN"/>
                              </w:rPr>
                              <w:t>Note: details of specification impact for any proposed PTRS enhancement shall be provided to facilitate drawing conclusion in RAN1#106b</w:t>
                            </w:r>
                          </w:p>
                          <w:p>
                            <w:pPr>
                              <w:numPr>
                                <w:ilvl w:val="-1"/>
                                <w:numId w:val="0"/>
                              </w:numPr>
                              <w:overflowPunct w:val="0"/>
                              <w:autoSpaceDE w:val="0"/>
                              <w:autoSpaceDN w:val="0"/>
                              <w:adjustRightInd w:val="0"/>
                              <w:spacing w:after="0"/>
                              <w:ind w:left="0" w:firstLine="0"/>
                              <w:jc w:val="both"/>
                              <w:textAlignment w:val="baseline"/>
                              <w:rPr>
                                <w:rFonts w:ascii="Times" w:hAnsi="Times" w:eastAsia="MS PMincho" w:cs="Times"/>
                                <w:lang w:eastAsia="ja-JP"/>
                              </w:rPr>
                            </w:pPr>
                          </w:p>
                          <w:p>
                            <w:pPr>
                              <w:numPr>
                                <w:ilvl w:val="1"/>
                                <w:numId w:val="16"/>
                              </w:numPr>
                              <w:overflowPunct w:val="0"/>
                              <w:autoSpaceDE w:val="0"/>
                              <w:autoSpaceDN w:val="0"/>
                              <w:adjustRightInd w:val="0"/>
                              <w:spacing w:after="0"/>
                              <w:jc w:val="both"/>
                              <w:textAlignment w:val="baseline"/>
                              <w:rPr>
                                <w:rFonts w:ascii="Times" w:hAnsi="Times" w:eastAsia="MS PMincho" w:cs="Times"/>
                                <w:lang w:eastAsia="ja-JP"/>
                              </w:rPr>
                            </w:pPr>
                            <w:r>
                              <w:rPr>
                                <w:rFonts w:ascii="Times" w:hAnsi="Times" w:eastAsia="MS PMincho" w:cs="Times"/>
                                <w:lang w:eastAsia="ja-JP"/>
                              </w:rPr>
                              <w:t xml:space="preserve">Note: other ways of presentation of results (e.g. BLER curve) is not precluded </w:t>
                            </w:r>
                          </w:p>
                          <w:p>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w:pict>
              <v:shape id="Text Box 2" o:spid="_x0000_s1026" o:spt="202" type="#_x0000_t202" style="height:230.25pt;width:479.4pt;" fillcolor="#FFFFFF" filled="t" stroked="t" coordsize="21600,21600" o:gfxdata="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hcGo5dYAAAAFAQAADwAAAAAAAAABACAA&#10;AAAiAAAAZHJzL2Rvd25yZXYueG1sUEsBAhQAFAAAAAgAh07iQA/bXdIPAgAALgQAAA4AAAAAAAAA&#10;AQAgAAAAJQEAAGRycy9lMm9Eb2MueG1sUEsFBgAAAAAGAAYAWQEAAKYFAAAAAA==&#10;">
                <v:fill on="t" focussize="0,0"/>
                <v:stroke color="#000000" miterlimit="8" joinstyle="miter"/>
                <v:imagedata o:title=""/>
                <o:lock v:ext="edit" aspectratio="f"/>
                <v:textbo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numPr>
                          <w:ilvl w:val="0"/>
                          <w:numId w:val="16"/>
                        </w:numPr>
                        <w:rPr>
                          <w:rFonts w:ascii="Times" w:hAnsi="Times" w:eastAsia="Batang" w:cs="Times"/>
                          <w:lang w:eastAsia="zh-CN"/>
                        </w:rPr>
                      </w:pPr>
                      <w:r>
                        <w:rPr>
                          <w:rFonts w:ascii="Times" w:hAnsi="Times" w:eastAsia="Batang" w:cs="Times"/>
                          <w:lang w:eastAsia="zh-CN"/>
                        </w:rPr>
                        <w:t>It is recommended to strictly follow and evaluate at least based on assumptions which are not optional in previous agreed LLS assumptions for study of potential RS enhancements for NR operation in 52.6 to 71 GHz.</w:t>
                      </w:r>
                    </w:p>
                    <w:p>
                      <w:pPr>
                        <w:numPr>
                          <w:ilvl w:val="1"/>
                          <w:numId w:val="16"/>
                        </w:numPr>
                        <w:rPr>
                          <w:rFonts w:ascii="Times" w:hAnsi="Times" w:eastAsia="Batang" w:cs="Times"/>
                          <w:lang w:eastAsia="zh-CN"/>
                        </w:rPr>
                      </w:pPr>
                      <w:r>
                        <w:rPr>
                          <w:rFonts w:ascii="Times" w:hAnsi="Times" w:eastAsia="Batang" w:cs="Times"/>
                          <w:lang w:eastAsia="zh-CN"/>
                        </w:rPr>
                        <w:t>Note: evaluation based on optional model/scenario/parameter values are not precluded from being considered for discussion and decisions</w:t>
                      </w:r>
                    </w:p>
                    <w:p>
                      <w:pPr>
                        <w:numPr>
                          <w:ilvl w:val="0"/>
                          <w:numId w:val="16"/>
                        </w:numPr>
                        <w:overflowPunct w:val="0"/>
                        <w:autoSpaceDE w:val="0"/>
                        <w:autoSpaceDN w:val="0"/>
                        <w:adjustRightInd w:val="0"/>
                        <w:spacing w:after="0"/>
                        <w:jc w:val="both"/>
                        <w:textAlignment w:val="baseline"/>
                        <w:rPr>
                          <w:rFonts w:ascii="Times" w:hAnsi="Times" w:eastAsia="MS PMincho" w:cs="Times"/>
                          <w:lang w:eastAsia="ja-JP"/>
                        </w:rPr>
                      </w:pPr>
                      <w:r>
                        <w:rPr>
                          <w:rFonts w:ascii="Times" w:hAnsi="Times" w:eastAsia="MS PMincho" w:cs="Times"/>
                          <w:lang w:eastAsia="ja-JP"/>
                        </w:rPr>
                        <w:t>Companies are encouraged to report results (along with previously reported aspects and cubic metric for power boosting aspects) at least for SINR in dB achieving PDSCH/PUSCH BLER of 10% in a numerical and tabular way (e.g. adapted from LLS result report template in SI).</w:t>
                      </w:r>
                    </w:p>
                    <w:p>
                      <w:pPr>
                        <w:rPr>
                          <w:rFonts w:ascii="Times New Roman" w:hAnsi="Times New Roman"/>
                          <w:sz w:val="22"/>
                          <w:szCs w:val="22"/>
                          <w:lang w:eastAsia="zh-CN"/>
                        </w:rPr>
                      </w:pPr>
                      <w:r>
                        <w:rPr>
                          <w:rFonts w:ascii="Times New Roman" w:hAnsi="Times New Roman"/>
                          <w:sz w:val="22"/>
                          <w:szCs w:val="22"/>
                          <w:highlight w:val="green"/>
                          <w:lang w:eastAsia="zh-CN"/>
                        </w:rPr>
                        <w:t>Agreement</w:t>
                      </w:r>
                      <w:r>
                        <w:rPr>
                          <w:rFonts w:hint="eastAsia" w:ascii="Times New Roman" w:hAnsi="Times New Roman"/>
                          <w:sz w:val="22"/>
                          <w:szCs w:val="22"/>
                          <w:highlight w:val="green"/>
                          <w:lang w:val="en-US" w:eastAsia="zh-CN"/>
                        </w:rPr>
                        <w:t xml:space="preserve"> in 106-e</w:t>
                      </w:r>
                      <w:r>
                        <w:rPr>
                          <w:rFonts w:ascii="Times New Roman" w:hAnsi="Times New Roman"/>
                          <w:sz w:val="22"/>
                          <w:szCs w:val="22"/>
                          <w:highlight w:val="green"/>
                          <w:lang w:eastAsia="zh-CN"/>
                        </w:rPr>
                        <w:t>:</w:t>
                      </w:r>
                    </w:p>
                    <w:p>
                      <w:pPr>
                        <w:rPr>
                          <w:rFonts w:ascii="Times New Roman" w:hAnsi="Times New Roman"/>
                          <w:sz w:val="22"/>
                          <w:szCs w:val="22"/>
                          <w:lang w:val="en-US" w:eastAsia="zh-CN"/>
                        </w:rPr>
                      </w:pPr>
                      <w:r>
                        <w:rPr>
                          <w:rFonts w:ascii="Times New Roman" w:hAnsi="Times New Roman"/>
                          <w:sz w:val="22"/>
                          <w:szCs w:val="22"/>
                          <w:lang w:eastAsia="zh-CN"/>
                        </w:rPr>
                        <w:t>Further study and conclude on whether to introduce any PTRS enhancement for CP-OFDM by RAN1#106b.</w:t>
                      </w:r>
                    </w:p>
                    <w:p>
                      <w:pPr>
                        <w:pStyle w:val="132"/>
                        <w:numPr>
                          <w:ilvl w:val="0"/>
                          <w:numId w:val="20"/>
                        </w:numPr>
                        <w:spacing w:line="252" w:lineRule="auto"/>
                        <w:ind w:leftChars="0"/>
                        <w:rPr>
                          <w:rFonts w:ascii="Times New Roman" w:hAnsi="Times New Roman"/>
                          <w:sz w:val="22"/>
                          <w:szCs w:val="22"/>
                          <w:lang w:eastAsia="zh-CN"/>
                        </w:rPr>
                      </w:pPr>
                      <w:r>
                        <w:rPr>
                          <w:rFonts w:ascii="Times New Roman" w:hAnsi="Times New Roman"/>
                          <w:sz w:val="22"/>
                          <w:szCs w:val="22"/>
                          <w:lang w:eastAsia="zh-CN"/>
                        </w:rPr>
                        <w:t>Note: details of specification impact for any proposed PTRS enhancement shall be provided to facilitate drawing conclusion in RAN1#106b</w:t>
                      </w:r>
                    </w:p>
                    <w:p>
                      <w:pPr>
                        <w:numPr>
                          <w:ilvl w:val="-1"/>
                          <w:numId w:val="0"/>
                        </w:numPr>
                        <w:overflowPunct w:val="0"/>
                        <w:autoSpaceDE w:val="0"/>
                        <w:autoSpaceDN w:val="0"/>
                        <w:adjustRightInd w:val="0"/>
                        <w:spacing w:after="0"/>
                        <w:ind w:left="0" w:firstLine="0"/>
                        <w:jc w:val="both"/>
                        <w:textAlignment w:val="baseline"/>
                        <w:rPr>
                          <w:rFonts w:ascii="Times" w:hAnsi="Times" w:eastAsia="MS PMincho" w:cs="Times"/>
                          <w:lang w:eastAsia="ja-JP"/>
                        </w:rPr>
                      </w:pPr>
                    </w:p>
                    <w:p>
                      <w:pPr>
                        <w:numPr>
                          <w:ilvl w:val="1"/>
                          <w:numId w:val="16"/>
                        </w:numPr>
                        <w:overflowPunct w:val="0"/>
                        <w:autoSpaceDE w:val="0"/>
                        <w:autoSpaceDN w:val="0"/>
                        <w:adjustRightInd w:val="0"/>
                        <w:spacing w:after="0"/>
                        <w:jc w:val="both"/>
                        <w:textAlignment w:val="baseline"/>
                        <w:rPr>
                          <w:rFonts w:ascii="Times" w:hAnsi="Times" w:eastAsia="MS PMincho" w:cs="Times"/>
                          <w:lang w:eastAsia="ja-JP"/>
                        </w:rPr>
                      </w:pPr>
                      <w:r>
                        <w:rPr>
                          <w:rFonts w:ascii="Times" w:hAnsi="Times" w:eastAsia="MS PMincho" w:cs="Times"/>
                          <w:lang w:eastAsia="ja-JP"/>
                        </w:rPr>
                        <w:t xml:space="preserve">Note: other ways of presentation of results (e.g. BLER curve) is not precluded </w:t>
                      </w:r>
                    </w:p>
                    <w:p>
                      <w:pPr>
                        <w:numPr>
                          <w:ilvl w:val="255"/>
                          <w:numId w:val="0"/>
                        </w:numPr>
                        <w:spacing w:after="0" w:line="240" w:lineRule="auto"/>
                        <w:rPr>
                          <w:b/>
                          <w:bCs/>
                          <w:lang w:eastAsia="zh-CN"/>
                        </w:rPr>
                      </w:pPr>
                    </w:p>
                  </w:txbxContent>
                </v:textbox>
                <w10:wrap type="none"/>
                <w10:anchorlock/>
              </v:shape>
            </w:pict>
          </mc:Fallback>
        </mc:AlternateContent>
      </w:r>
    </w:p>
    <w:p>
      <w:pPr>
        <w:jc w:val="both"/>
        <w:rPr>
          <w:lang w:val="en-US" w:eastAsia="zh-CN"/>
        </w:rPr>
      </w:pPr>
      <w:r>
        <w:rPr>
          <w:rFonts w:hint="eastAsia"/>
          <w:lang w:val="en-US" w:eastAsia="zh-CN"/>
        </w:rPr>
        <w:t xml:space="preserve">In this chapter, we further evaluate the PTRS enhancement for CP-OFDM, especially the block PTRS with cyclic sequence, with the mandatory parameters from agreed assumption. </w:t>
      </w:r>
    </w:p>
    <w:p>
      <w:pPr>
        <w:jc w:val="both"/>
        <w:rPr>
          <w:lang w:val="en-US" w:eastAsia="zh-CN"/>
        </w:rPr>
      </w:pPr>
      <w:r>
        <w:rPr>
          <w:rFonts w:hint="eastAsia"/>
          <w:lang w:val="en-US" w:eastAsia="zh-CN"/>
        </w:rPr>
        <w:t>Block PTRS with cyclic sequence is discussed in the last meeting, here we consider a</w:t>
      </w:r>
      <w:r>
        <w:rPr>
          <w:lang w:eastAsia="zh-CN"/>
        </w:rPr>
        <w:t xml:space="preserve"> </w:t>
      </w:r>
      <w:r>
        <w:rPr>
          <w:rFonts w:hint="eastAsia"/>
          <w:lang w:val="en-US" w:eastAsia="zh-CN"/>
        </w:rPr>
        <w:t xml:space="preserve">block </w:t>
      </w:r>
      <w:r>
        <w:rPr>
          <w:lang w:eastAsia="zh-CN"/>
        </w:rPr>
        <w:t>PTRS sequence</w:t>
      </w:r>
      <w:r>
        <w:rPr>
          <w:rFonts w:hint="eastAsia"/>
          <w:lang w:val="en-US" w:eastAsia="zh-CN"/>
        </w:rPr>
        <w:t xml:space="preserve"> introduced in [2]</w:t>
      </w:r>
      <w:r>
        <w:rPr>
          <w:lang w:eastAsia="zh-CN"/>
        </w:rPr>
        <w:t xml:space="preserve">, which is composed of a base sequence and a circular sequence, as illustrated in </w:t>
      </w:r>
      <w:r>
        <w:rPr>
          <w:rFonts w:hint="eastAsia"/>
          <w:lang w:val="en-US" w:eastAsia="zh-CN"/>
        </w:rPr>
        <w:t>Figure 2.4.1-2</w:t>
      </w:r>
      <w:r>
        <w:rPr>
          <w:lang w:eastAsia="zh-CN"/>
        </w:rPr>
        <w:t xml:space="preserve">. The length of base sequence and circular sequence is decided by the number of significant ICI coefficients. The base sequence </w:t>
      </w:r>
      <m:oMath>
        <m:sSub>
          <m:sSubPr>
            <m:ctrlPr>
              <w:rPr>
                <w:rFonts w:ascii="Cambria Math" w:hAnsi="Cambria Math"/>
                <w:lang w:eastAsia="zh-CN"/>
              </w:rPr>
            </m:ctrlPr>
          </m:sSubPr>
          <m:e>
            <m:r>
              <m:rPr>
                <m:sty m:val="p"/>
              </m:rPr>
              <w:rPr>
                <w:rFonts w:ascii="Cambria Math" w:hAnsi="Cambria Math"/>
                <w:lang w:eastAsia="zh-CN"/>
              </w:rPr>
              <m:t>S</m:t>
            </m:r>
            <m:ctrlPr>
              <w:rPr>
                <w:rFonts w:ascii="Cambria Math" w:hAnsi="Cambria Math"/>
                <w:lang w:eastAsia="zh-CN"/>
              </w:rPr>
            </m:ctrlPr>
          </m:e>
          <m:sub>
            <m:r>
              <m:rPr>
                <m:sty m:val="p"/>
              </m:rPr>
              <w:rPr>
                <w:rFonts w:ascii="Cambria Math" w:hAnsi="Cambria Math"/>
                <w:lang w:eastAsia="zh-CN"/>
              </w:rPr>
              <m:t>i</m:t>
            </m:r>
            <m:ctrlPr>
              <w:rPr>
                <w:rFonts w:ascii="Cambria Math" w:hAnsi="Cambria Math"/>
                <w:lang w:eastAsia="zh-CN"/>
              </w:rPr>
            </m:ctrlPr>
          </m:sub>
        </m:sSub>
        <m:r>
          <m:rPr>
            <m:sty m:val="p"/>
          </m:rPr>
          <w:rPr>
            <w:rFonts w:ascii="Cambria Math" w:hAnsi="Cambria Math"/>
            <w:lang w:eastAsia="zh-CN"/>
          </w:rPr>
          <m:t>, i=1,…,N</m:t>
        </m:r>
      </m:oMath>
      <w:r>
        <w:rPr>
          <w:lang w:eastAsia="zh-CN"/>
        </w:rPr>
        <w:t xml:space="preserve"> has a constant modulus after IFFT operation to provide a better estimation on ICI coefficients. ZC sequence can be a candidate for the base sequence. The circular sequence includes the head circular part and the tail circular part, wherein the head circular part is composed of the tail of the base sequence, and the tail circular part is composed of the head of the base sequence. </w:t>
      </w:r>
      <w:r>
        <w:rPr>
          <w:rFonts w:hint="eastAsia"/>
          <w:lang w:val="en-US" w:eastAsia="zh-CN"/>
        </w:rPr>
        <w:t>In the simulation, the length of circular sequence is assumed to be (tap number+1)/2.</w:t>
      </w:r>
    </w:p>
    <w:p>
      <w:pPr>
        <w:jc w:val="center"/>
        <w:rPr>
          <w:lang w:eastAsia="zh-CN"/>
        </w:rPr>
      </w:pPr>
      <w:r>
        <w:rPr>
          <w:lang w:val="en-US" w:eastAsia="zh-CN"/>
        </w:rPr>
        <w:drawing>
          <wp:inline distT="0" distB="0" distL="0" distR="0">
            <wp:extent cx="4848860" cy="1158875"/>
            <wp:effectExtent l="0" t="0" r="8890" b="317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9"/>
                    <a:stretch>
                      <a:fillRect/>
                    </a:stretch>
                  </pic:blipFill>
                  <pic:spPr>
                    <a:xfrm>
                      <a:off x="0" y="0"/>
                      <a:ext cx="4849200" cy="1159200"/>
                    </a:xfrm>
                    <a:prstGeom prst="rect">
                      <a:avLst/>
                    </a:prstGeom>
                  </pic:spPr>
                </pic:pic>
              </a:graphicData>
            </a:graphic>
          </wp:inline>
        </w:drawing>
      </w:r>
    </w:p>
    <w:p>
      <w:pPr>
        <w:jc w:val="center"/>
        <w:rPr>
          <w:lang w:val="en-US" w:eastAsia="zh-CN"/>
        </w:rPr>
      </w:pPr>
      <w:r>
        <w:rPr>
          <w:bCs/>
          <w:lang w:eastAsia="zh-CN"/>
        </w:rPr>
        <w:t xml:space="preserve">Figure </w:t>
      </w:r>
      <w:r>
        <w:rPr>
          <w:rFonts w:hint="eastAsia"/>
          <w:bCs/>
          <w:lang w:val="en-US" w:eastAsia="zh-CN"/>
        </w:rPr>
        <w:t>2.4.1-2</w:t>
      </w:r>
      <w:r>
        <w:rPr>
          <w:bCs/>
          <w:lang w:eastAsia="zh-CN"/>
        </w:rPr>
        <w:t>.</w:t>
      </w:r>
      <w:r>
        <w:rPr>
          <w:lang w:eastAsia="zh-CN"/>
        </w:rPr>
        <w:t xml:space="preserve"> </w:t>
      </w:r>
      <w:r>
        <w:rPr>
          <w:rFonts w:hint="eastAsia"/>
          <w:lang w:val="en-US" w:eastAsia="zh-CN"/>
        </w:rPr>
        <w:t>Block</w:t>
      </w:r>
      <w:r>
        <w:rPr>
          <w:lang w:eastAsia="zh-CN"/>
        </w:rPr>
        <w:t xml:space="preserve"> PTRS</w:t>
      </w:r>
      <w:r>
        <w:rPr>
          <w:rFonts w:hint="eastAsia"/>
          <w:lang w:val="en-US" w:eastAsia="zh-CN"/>
        </w:rPr>
        <w:t xml:space="preserve"> with cyclic ZC sequence[2]</w:t>
      </w:r>
    </w:p>
    <w:p>
      <w:pPr>
        <w:jc w:val="both"/>
        <w:rPr>
          <w:lang w:val="en-US" w:eastAsia="zh-CN"/>
        </w:rPr>
      </w:pPr>
      <w:r>
        <w:rPr>
          <w:rFonts w:hint="eastAsia"/>
          <w:lang w:val="en-US" w:eastAsia="zh-CN"/>
        </w:rPr>
        <w:t>As suggested by companies that support block PTRS, we further evaluate different combinations of the block PTRS configuration, such as ICI estimation filter tap number, block number and sequence length for each block. To achieve a relatively fair comparison, we assume the total number of PTRS REs is the same for both legacy PTRS and block PTRS, i.e.128 PTRS REs. The number of PRB is 256 and 64QAM with MCS 22 is assumed.</w:t>
      </w:r>
    </w:p>
    <w:p>
      <w:r>
        <w:rPr>
          <w:lang w:val="en-US" w:eastAsia="zh-CN"/>
        </w:rPr>
        <w:drawing>
          <wp:inline distT="0" distB="0" distL="114300" distR="114300">
            <wp:extent cx="2578735" cy="1935480"/>
            <wp:effectExtent l="0" t="0" r="12065" b="7620"/>
            <wp:docPr id="5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6"/>
                    <pic:cNvPicPr>
                      <a:picLocks noChangeAspect="1"/>
                    </pic:cNvPicPr>
                  </pic:nvPicPr>
                  <pic:blipFill>
                    <a:blip r:embed="rId20"/>
                    <a:stretch>
                      <a:fillRect/>
                    </a:stretch>
                  </pic:blipFill>
                  <pic:spPr>
                    <a:xfrm>
                      <a:off x="0" y="0"/>
                      <a:ext cx="2578735" cy="1935480"/>
                    </a:xfrm>
                    <a:prstGeom prst="rect">
                      <a:avLst/>
                    </a:prstGeom>
                    <a:noFill/>
                    <a:ln>
                      <a:noFill/>
                    </a:ln>
                  </pic:spPr>
                </pic:pic>
              </a:graphicData>
            </a:graphic>
          </wp:inline>
        </w:drawing>
      </w:r>
      <w:r>
        <w:rPr>
          <w:rFonts w:hint="eastAsia" w:eastAsia="宋体"/>
          <w:lang w:val="en-US" w:eastAsia="zh-CN"/>
        </w:rPr>
        <w:t xml:space="preserve">                </w:t>
      </w:r>
      <w:r>
        <w:rPr>
          <w:lang w:val="en-US" w:eastAsia="zh-CN"/>
        </w:rPr>
        <w:drawing>
          <wp:inline distT="0" distB="0" distL="114300" distR="114300">
            <wp:extent cx="2603500" cy="1953260"/>
            <wp:effectExtent l="0" t="0" r="6350" b="8890"/>
            <wp:docPr id="5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7"/>
                    <pic:cNvPicPr>
                      <a:picLocks noChangeAspect="1"/>
                    </pic:cNvPicPr>
                  </pic:nvPicPr>
                  <pic:blipFill>
                    <a:blip r:embed="rId21"/>
                    <a:stretch>
                      <a:fillRect/>
                    </a:stretch>
                  </pic:blipFill>
                  <pic:spPr>
                    <a:xfrm>
                      <a:off x="0" y="0"/>
                      <a:ext cx="2603500" cy="1953260"/>
                    </a:xfrm>
                    <a:prstGeom prst="rect">
                      <a:avLst/>
                    </a:prstGeom>
                    <a:noFill/>
                    <a:ln>
                      <a:noFill/>
                    </a:ln>
                  </pic:spPr>
                </pic:pic>
              </a:graphicData>
            </a:graphic>
          </wp:inline>
        </w:drawing>
      </w:r>
    </w:p>
    <w:p>
      <w:pPr>
        <w:jc w:val="center"/>
        <w:rPr>
          <w:lang w:val="en-US" w:eastAsia="zh-CN"/>
        </w:rPr>
      </w:pPr>
      <w:r>
        <w:rPr>
          <w:rFonts w:hint="eastAsia"/>
          <w:lang w:val="en-US" w:eastAsia="zh-CN"/>
        </w:rPr>
        <w:t>Figure 2.4.1-3 Comparison of block PTRS and legacy PTRS with different tap configuration</w:t>
      </w:r>
    </w:p>
    <w:p>
      <w:pPr>
        <w:jc w:val="both"/>
      </w:pPr>
      <w:r>
        <w:rPr>
          <w:lang w:val="en-US" w:eastAsia="zh-CN"/>
        </w:rPr>
        <w:drawing>
          <wp:inline distT="0" distB="0" distL="114300" distR="114300">
            <wp:extent cx="2665730" cy="2000250"/>
            <wp:effectExtent l="0" t="0" r="1270" b="0"/>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8"/>
                    <pic:cNvPicPr>
                      <a:picLocks noChangeAspect="1"/>
                    </pic:cNvPicPr>
                  </pic:nvPicPr>
                  <pic:blipFill>
                    <a:blip r:embed="rId22"/>
                    <a:stretch>
                      <a:fillRect/>
                    </a:stretch>
                  </pic:blipFill>
                  <pic:spPr>
                    <a:xfrm>
                      <a:off x="0" y="0"/>
                      <a:ext cx="2665730" cy="2000250"/>
                    </a:xfrm>
                    <a:prstGeom prst="rect">
                      <a:avLst/>
                    </a:prstGeom>
                    <a:noFill/>
                    <a:ln>
                      <a:noFill/>
                    </a:ln>
                  </pic:spPr>
                </pic:pic>
              </a:graphicData>
            </a:graphic>
          </wp:inline>
        </w:drawing>
      </w:r>
      <w:r>
        <w:rPr>
          <w:rFonts w:hint="eastAsia" w:eastAsiaTheme="minorEastAsia"/>
          <w:lang w:eastAsia="zh-CN"/>
        </w:rPr>
        <w:t xml:space="preserve">                </w:t>
      </w:r>
      <w:r>
        <w:rPr>
          <w:lang w:val="en-US" w:eastAsia="zh-CN"/>
        </w:rPr>
        <w:drawing>
          <wp:inline distT="0" distB="0" distL="114300" distR="114300">
            <wp:extent cx="2710180" cy="2033270"/>
            <wp:effectExtent l="0" t="0" r="13970" b="5080"/>
            <wp:docPr id="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9"/>
                    <pic:cNvPicPr>
                      <a:picLocks noChangeAspect="1"/>
                    </pic:cNvPicPr>
                  </pic:nvPicPr>
                  <pic:blipFill>
                    <a:blip r:embed="rId23"/>
                    <a:stretch>
                      <a:fillRect/>
                    </a:stretch>
                  </pic:blipFill>
                  <pic:spPr>
                    <a:xfrm>
                      <a:off x="0" y="0"/>
                      <a:ext cx="2710180" cy="2033270"/>
                    </a:xfrm>
                    <a:prstGeom prst="rect">
                      <a:avLst/>
                    </a:prstGeom>
                    <a:noFill/>
                    <a:ln>
                      <a:noFill/>
                    </a:ln>
                  </pic:spPr>
                </pic:pic>
              </a:graphicData>
            </a:graphic>
          </wp:inline>
        </w:drawing>
      </w:r>
    </w:p>
    <w:p>
      <w:pPr>
        <w:jc w:val="center"/>
        <w:rPr>
          <w:lang w:val="en-US" w:eastAsia="zh-CN"/>
        </w:rPr>
      </w:pPr>
      <w:r>
        <w:rPr>
          <w:rFonts w:hint="eastAsia"/>
          <w:lang w:val="en-US" w:eastAsia="zh-CN"/>
        </w:rPr>
        <w:t>Figure 2.4.1-4 Comparison of block PTRS and legacy PTRS with different block number</w:t>
      </w:r>
    </w:p>
    <w:p/>
    <w:p>
      <w:pPr>
        <w:jc w:val="both"/>
        <w:rPr>
          <w:rFonts w:eastAsia="宋体"/>
          <w:lang w:val="en-US" w:eastAsia="zh-CN"/>
        </w:rPr>
      </w:pPr>
      <w:r>
        <w:rPr>
          <w:rFonts w:hint="eastAsia" w:eastAsia="宋体"/>
          <w:lang w:val="en-US" w:eastAsia="zh-CN"/>
        </w:rPr>
        <w:t>As illustrated in Figure 2.4.1-3 and 2.4.1-4, for 120kHz and 480kHz SCS with MCS 22, the performance of ICI compensation based on legacy PTRS is always better than block PTRS.</w:t>
      </w:r>
    </w:p>
    <w:p>
      <w:pPr>
        <w:jc w:val="both"/>
        <w:rPr>
          <w:b/>
          <w:bCs/>
          <w:lang w:val="en-US" w:eastAsia="zh-CN"/>
        </w:rPr>
      </w:pPr>
      <w:r>
        <w:rPr>
          <w:rFonts w:hint="eastAsia"/>
          <w:b/>
          <w:bCs/>
          <w:lang w:val="en-US" w:eastAsia="zh-CN"/>
        </w:rPr>
        <w:t>Observation 2: Block PTRS with cyclic sequence cannot provide performance gain compared with legacy PTRS.</w:t>
      </w:r>
    </w:p>
    <w:p>
      <w:pPr>
        <w:numPr>
          <w:ilvl w:val="0"/>
          <w:numId w:val="21"/>
        </w:numPr>
        <w:rPr>
          <w:lang w:val="en-US" w:eastAsia="zh-CN"/>
        </w:rPr>
      </w:pPr>
      <w:r>
        <w:rPr>
          <w:rFonts w:hint="eastAsia"/>
          <w:lang w:val="en-US" w:eastAsia="zh-CN"/>
        </w:rPr>
        <w:t>Block PTRS with power boosting</w:t>
      </w:r>
    </w:p>
    <w:p>
      <w:pPr>
        <w:jc w:val="both"/>
        <w:rPr>
          <w:lang w:val="en-US" w:eastAsia="zh-CN"/>
        </w:rPr>
      </w:pPr>
      <w:r>
        <w:rPr>
          <w:rFonts w:hint="eastAsia"/>
          <w:lang w:val="en-US" w:eastAsia="zh-CN"/>
        </w:rPr>
        <w:t xml:space="preserve">Power boosting for PTRS is introduced in Rel-15 to further improve the PN estimation accuracy. However, when ICI compensation is required to mitigate the severe phase noise impact in above 52.6GHz, some companies mentioned that power boosting may have limited benefit for legacy PTRS since the adjacent REs of PTRS are occupied by data. </w:t>
      </w:r>
    </w:p>
    <w:p>
      <w:pPr>
        <w:jc w:val="both"/>
        <w:rPr>
          <w:lang w:eastAsia="zh-CN"/>
        </w:rPr>
      </w:pPr>
      <w:r>
        <w:rPr>
          <w:lang w:eastAsia="zh-CN"/>
        </w:rPr>
        <w:t>The formula for ICI estimation is shown in equation (1), and</w:t>
      </w:r>
      <w:r>
        <w:rPr>
          <w:i/>
          <w:lang w:eastAsia="zh-CN"/>
        </w:rPr>
        <w:t xml:space="preserve"> </w:t>
      </w:r>
      <m:oMath>
        <m:sSub>
          <m:sSubPr>
            <m:ctrlPr>
              <w:rPr>
                <w:rFonts w:ascii="Cambria Math" w:hAnsi="Cambria Math"/>
                <w:i/>
                <w:lang w:eastAsia="zh-CN"/>
              </w:rPr>
            </m:ctrlPr>
          </m:sSubPr>
          <m:e>
            <m:r>
              <w:rPr>
                <w:rFonts w:ascii="Cambria Math" w:hAnsi="Cambria Math"/>
                <w:lang w:eastAsia="zh-CN"/>
              </w:rPr>
              <m:t>p</m:t>
            </m:r>
            <m:ctrlPr>
              <w:rPr>
                <w:rFonts w:ascii="Cambria Math" w:hAnsi="Cambria Math"/>
                <w:i/>
                <w:lang w:eastAsia="zh-CN"/>
              </w:rPr>
            </m:ctrlPr>
          </m:e>
          <m:sub>
            <m:r>
              <w:rPr>
                <w:rFonts w:ascii="Cambria Math" w:hAnsi="Cambria Math"/>
                <w:lang w:eastAsia="zh-CN"/>
              </w:rPr>
              <m:t>i</m:t>
            </m:r>
            <m:ctrlPr>
              <w:rPr>
                <w:rFonts w:ascii="Cambria Math" w:hAnsi="Cambria Math"/>
                <w:i/>
                <w:lang w:eastAsia="zh-CN"/>
              </w:rPr>
            </m:ctrlPr>
          </m:sub>
        </m:sSub>
        <m:r>
          <w:rPr>
            <w:rFonts w:ascii="Cambria Math" w:hAnsi="Cambria Math"/>
            <w:lang w:eastAsia="zh-CN"/>
          </w:rPr>
          <m:t xml:space="preserve"> (i=1,2,3,…</m:t>
        </m:r>
        <m:r>
          <m:rPr>
            <m:sty m:val="p"/>
          </m:rPr>
          <w:rPr>
            <w:rFonts w:ascii="Cambria Math" w:hAnsi="Cambria Math"/>
            <w:lang w:eastAsia="zh-CN"/>
          </w:rPr>
          <m:t>)</m:t>
        </m:r>
      </m:oMath>
      <w:r>
        <w:rPr>
          <w:rFonts w:hint="eastAsia"/>
          <w:i/>
          <w:lang w:eastAsia="zh-CN"/>
        </w:rPr>
        <w:t xml:space="preserve"> </w:t>
      </w:r>
      <w:r>
        <w:rPr>
          <w:lang w:eastAsia="zh-CN"/>
        </w:rPr>
        <w:t xml:space="preserve">is the subcarrier index of  PTRS, </w:t>
      </w:r>
      <m:oMath>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j</m:t>
            </m:r>
            <m:ctrlPr>
              <w:rPr>
                <w:rFonts w:ascii="Cambria Math" w:hAnsi="Cambria Math"/>
                <w:i/>
                <w:lang w:eastAsia="zh-CN"/>
              </w:rPr>
            </m:ctrlPr>
          </m:sub>
        </m:sSub>
      </m:oMath>
      <w:r>
        <w:rPr>
          <w:rFonts w:hint="eastAsia"/>
          <w:lang w:eastAsia="zh-CN"/>
        </w:rPr>
        <w:t xml:space="preserve"> </w:t>
      </w:r>
      <w:r>
        <w:rPr>
          <w:lang w:eastAsia="zh-CN"/>
        </w:rPr>
        <w:t xml:space="preserve">is the received signal on subcarrier j, </w:t>
      </w:r>
      <m:oMath>
        <m:sSub>
          <m:sSubPr>
            <m:ctrlPr>
              <w:rPr>
                <w:rFonts w:ascii="Cambria Math" w:hAnsi="Cambria Math"/>
                <w:i/>
                <w:lang w:eastAsia="zh-CN"/>
              </w:rPr>
            </m:ctrlPr>
          </m:sSubPr>
          <m:e>
            <m:r>
              <w:rPr>
                <w:rFonts w:ascii="Cambria Math" w:hAnsi="Cambria Math"/>
                <w:lang w:eastAsia="zh-CN"/>
              </w:rPr>
              <m:t>I</m:t>
            </m:r>
            <m:ctrlPr>
              <w:rPr>
                <w:rFonts w:ascii="Cambria Math" w:hAnsi="Cambria Math"/>
                <w:i/>
                <w:lang w:eastAsia="zh-CN"/>
              </w:rPr>
            </m:ctrlPr>
          </m:e>
          <m:sub>
            <m:r>
              <w:rPr>
                <w:rFonts w:ascii="Cambria Math" w:hAnsi="Cambria Math"/>
                <w:lang w:eastAsia="zh-CN"/>
              </w:rPr>
              <m:t>k</m:t>
            </m:r>
            <m:ctrlPr>
              <w:rPr>
                <w:rFonts w:ascii="Cambria Math" w:hAnsi="Cambria Math"/>
                <w:i/>
                <w:lang w:eastAsia="zh-CN"/>
              </w:rPr>
            </m:ctrlPr>
          </m:sub>
        </m:sSub>
        <m:r>
          <w:rPr>
            <w:rFonts w:ascii="Cambria Math" w:hAnsi="Cambria Math"/>
            <w:lang w:eastAsia="zh-CN"/>
          </w:rPr>
          <m:t>(k=-2,…,2)</m:t>
        </m:r>
      </m:oMath>
      <w:r>
        <w:rPr>
          <w:rFonts w:hint="eastAsia"/>
          <w:lang w:eastAsia="zh-CN"/>
        </w:rPr>
        <w:t xml:space="preserve"> </w:t>
      </w:r>
      <w:r>
        <w:rPr>
          <w:lang w:eastAsia="zh-CN"/>
        </w:rPr>
        <w:t xml:space="preserve">is the ICI coefficient, and </w:t>
      </w:r>
      <m:oMath>
        <m:sSub>
          <m:sSubPr>
            <m:ctrlPr>
              <w:rPr>
                <w:rFonts w:ascii="Cambria Math" w:hAnsi="Cambria Math"/>
                <w:i/>
                <w:lang w:eastAsia="zh-CN"/>
              </w:rPr>
            </m:ctrlPr>
          </m:sSubPr>
          <m:e>
            <m:r>
              <w:rPr>
                <w:rFonts w:ascii="Cambria Math" w:hAnsi="Cambria Math"/>
                <w:lang w:eastAsia="zh-CN"/>
              </w:rPr>
              <m:t>S</m:t>
            </m:r>
            <m:ctrlPr>
              <w:rPr>
                <w:rFonts w:ascii="Cambria Math" w:hAnsi="Cambria Math"/>
                <w:i/>
                <w:lang w:eastAsia="zh-CN"/>
              </w:rPr>
            </m:ctrlPr>
          </m:e>
          <m:sub>
            <m:r>
              <w:rPr>
                <w:rFonts w:ascii="Cambria Math" w:hAnsi="Cambria Math"/>
                <w:lang w:eastAsia="zh-CN"/>
              </w:rPr>
              <m:t>pi</m:t>
            </m:r>
            <m:ctrlPr>
              <w:rPr>
                <w:rFonts w:ascii="Cambria Math" w:hAnsi="Cambria Math"/>
                <w:i/>
                <w:lang w:eastAsia="zh-CN"/>
              </w:rPr>
            </m:ctrlPr>
          </m:sub>
        </m:sSub>
        <m:r>
          <m:rPr>
            <m:sty m:val="p"/>
          </m:rPr>
          <w:rPr>
            <w:rFonts w:ascii="Cambria Math" w:hAnsi="Cambria Math"/>
            <w:lang w:eastAsia="zh-CN"/>
          </w:rPr>
          <m:t xml:space="preserve"> (i=1,2,3,…)</m:t>
        </m:r>
      </m:oMath>
      <w:r>
        <w:rPr>
          <w:lang w:eastAsia="zh-CN"/>
        </w:rPr>
        <w:t xml:space="preserve"> is the transmitted signal at subcarrier </w:t>
      </w:r>
      <m:oMath>
        <m:sSub>
          <m:sSubPr>
            <m:ctrlPr>
              <w:rPr>
                <w:rFonts w:ascii="Cambria Math" w:hAnsi="Cambria Math"/>
                <w:i/>
                <w:lang w:eastAsia="zh-CN"/>
              </w:rPr>
            </m:ctrlPr>
          </m:sSubPr>
          <m:e>
            <m:r>
              <w:rPr>
                <w:rFonts w:ascii="Cambria Math" w:hAnsi="Cambria Math"/>
                <w:lang w:eastAsia="zh-CN"/>
              </w:rPr>
              <m:t>p</m:t>
            </m:r>
            <m:ctrlPr>
              <w:rPr>
                <w:rFonts w:ascii="Cambria Math" w:hAnsi="Cambria Math"/>
                <w:i/>
                <w:lang w:eastAsia="zh-CN"/>
              </w:rPr>
            </m:ctrlPr>
          </m:e>
          <m:sub>
            <m:r>
              <w:rPr>
                <w:rFonts w:ascii="Cambria Math" w:hAnsi="Cambria Math"/>
                <w:lang w:eastAsia="zh-CN"/>
              </w:rPr>
              <m:t>i</m:t>
            </m:r>
            <m:ctrlPr>
              <w:rPr>
                <w:rFonts w:ascii="Cambria Math" w:hAnsi="Cambria Math"/>
                <w:i/>
                <w:lang w:eastAsia="zh-CN"/>
              </w:rPr>
            </m:ctrlPr>
          </m:sub>
        </m:sSub>
      </m:oMath>
      <w:r>
        <w:rPr>
          <w:lang w:eastAsia="zh-CN"/>
        </w:rPr>
        <w:t>. For distributed PTRS, only the middle column (with red color) in the left matrix are from PTRS with power boosting, and rest of the received signals are from data without power boosting</w:t>
      </w:r>
      <w:r>
        <w:rPr>
          <w:rFonts w:hint="eastAsia"/>
          <w:lang w:val="en-US" w:eastAsia="zh-CN"/>
        </w:rPr>
        <w:t>[10]</w:t>
      </w:r>
      <w:r>
        <w:rPr>
          <w:lang w:eastAsia="zh-CN"/>
        </w:rPr>
        <w:t>. The effect of power boost</w:t>
      </w:r>
      <w:r>
        <w:rPr>
          <w:rFonts w:hint="eastAsia"/>
          <w:lang w:val="en-US" w:eastAsia="zh-CN"/>
        </w:rPr>
        <w:t>ing for legacy PRTS to perform ICI estimation</w:t>
      </w:r>
      <w:r>
        <w:rPr>
          <w:lang w:eastAsia="zh-CN"/>
        </w:rPr>
        <w:t xml:space="preserve"> is quite limited.</w:t>
      </w:r>
    </w:p>
    <w:p>
      <w:pPr>
        <w:wordWrap w:val="0"/>
        <w:jc w:val="right"/>
        <w:rPr>
          <w:lang w:eastAsia="zh-CN"/>
        </w:rPr>
      </w:pPr>
      <m:oMath>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3"/>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p1-2</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p1-1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color w:val="FF0000"/>
                              <w:lang w:eastAsia="zh-CN"/>
                            </w:rPr>
                          </m:ctrlPr>
                        </m:sSubPr>
                        <m:e>
                          <m:r>
                            <w:rPr>
                              <w:rFonts w:ascii="Cambria Math" w:hAnsi="Cambria Math"/>
                              <w:color w:val="FF0000"/>
                              <w:lang w:eastAsia="zh-CN"/>
                            </w:rPr>
                            <m:t>r</m:t>
                          </m:r>
                          <m:ctrlPr>
                            <w:rPr>
                              <w:rFonts w:ascii="Cambria Math" w:hAnsi="Cambria Math"/>
                              <w:i/>
                              <w:color w:val="FF0000"/>
                              <w:lang w:eastAsia="zh-CN"/>
                            </w:rPr>
                          </m:ctrlPr>
                        </m:e>
                        <m:sub>
                          <m:r>
                            <w:rPr>
                              <w:rFonts w:ascii="Cambria Math" w:hAnsi="Cambria Math"/>
                              <w:color w:val="FF0000"/>
                              <w:lang w:eastAsia="zh-CN"/>
                            </w:rPr>
                            <m:t>p1</m:t>
                          </m:r>
                          <m:ctrlPr>
                            <w:rPr>
                              <w:rFonts w:ascii="Cambria Math" w:hAnsi="Cambria Math"/>
                              <w:i/>
                              <w:color w:val="FF0000"/>
                              <w:lang w:eastAsia="zh-CN"/>
                            </w:rPr>
                          </m:ctrlPr>
                        </m:sub>
                      </m:sSub>
                      <m:ctrlPr>
                        <w:rPr>
                          <w:rFonts w:ascii="Cambria Math" w:hAnsi="Cambria Math"/>
                          <w:i/>
                          <w:lang w:eastAsia="zh-CN"/>
                        </w:rPr>
                      </m:ctrlPr>
                    </m:e>
                  </m:mr>
                  <m:mr>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p2-2</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p2-1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color w:val="FF0000"/>
                              <w:lang w:eastAsia="zh-CN"/>
                            </w:rPr>
                          </m:ctrlPr>
                        </m:sSubPr>
                        <m:e>
                          <m:r>
                            <w:rPr>
                              <w:rFonts w:ascii="Cambria Math" w:hAnsi="Cambria Math"/>
                              <w:color w:val="FF0000"/>
                              <w:lang w:eastAsia="zh-CN"/>
                            </w:rPr>
                            <m:t>r</m:t>
                          </m:r>
                          <m:ctrlPr>
                            <w:rPr>
                              <w:rFonts w:ascii="Cambria Math" w:hAnsi="Cambria Math"/>
                              <w:i/>
                              <w:color w:val="FF0000"/>
                              <w:lang w:eastAsia="zh-CN"/>
                            </w:rPr>
                          </m:ctrlPr>
                        </m:e>
                        <m:sub>
                          <m:r>
                            <w:rPr>
                              <w:rFonts w:ascii="Cambria Math" w:hAnsi="Cambria Math"/>
                              <w:color w:val="FF0000"/>
                              <w:lang w:eastAsia="zh-CN"/>
                            </w:rPr>
                            <m:t>p2</m:t>
                          </m:r>
                          <m:ctrlPr>
                            <w:rPr>
                              <w:rFonts w:ascii="Cambria Math" w:hAnsi="Cambria Math"/>
                              <w:i/>
                              <w:color w:val="FF0000"/>
                              <w:lang w:eastAsia="zh-CN"/>
                            </w:rPr>
                          </m:ctrlPr>
                        </m:sub>
                      </m:sSub>
                      <m:ctrlPr>
                        <w:rPr>
                          <w:rFonts w:ascii="Cambria Math" w:hAnsi="Cambria Math"/>
                          <w:i/>
                          <w:lang w:eastAsia="zh-CN"/>
                        </w:rPr>
                      </m:ctrlPr>
                    </m:e>
                  </m:mr>
                  <m:mr>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p3-2</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p3-1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color w:val="FF0000"/>
                              <w:lang w:eastAsia="zh-CN"/>
                            </w:rPr>
                          </m:ctrlPr>
                        </m:sSubPr>
                        <m:e>
                          <m:r>
                            <w:rPr>
                              <w:rFonts w:ascii="Cambria Math" w:hAnsi="Cambria Math"/>
                              <w:color w:val="FF0000"/>
                              <w:lang w:eastAsia="zh-CN"/>
                            </w:rPr>
                            <m:t>r</m:t>
                          </m:r>
                          <m:ctrlPr>
                            <w:rPr>
                              <w:rFonts w:ascii="Cambria Math" w:hAnsi="Cambria Math"/>
                              <w:i/>
                              <w:color w:val="FF0000"/>
                              <w:lang w:eastAsia="zh-CN"/>
                            </w:rPr>
                          </m:ctrlPr>
                        </m:e>
                        <m:sub>
                          <m:r>
                            <w:rPr>
                              <w:rFonts w:ascii="Cambria Math" w:hAnsi="Cambria Math"/>
                              <w:color w:val="FF0000"/>
                              <w:lang w:eastAsia="zh-CN"/>
                            </w:rPr>
                            <m:t>p3</m:t>
                          </m:r>
                          <m:ctrlPr>
                            <w:rPr>
                              <w:rFonts w:ascii="Cambria Math" w:hAnsi="Cambria Math"/>
                              <w:i/>
                              <w:color w:val="FF0000"/>
                              <w:lang w:eastAsia="zh-CN"/>
                            </w:rPr>
                          </m:ctrlPr>
                        </m:sub>
                      </m:sSub>
                      <m:ctrlPr>
                        <w:rPr>
                          <w:rFonts w:ascii="Cambria Math" w:hAnsi="Cambria Math"/>
                          <w:i/>
                          <w:lang w:eastAsia="zh-CN"/>
                        </w:rPr>
                      </m:ctrlPr>
                    </m:e>
                  </m:mr>
                </m:m>
                <m:r>
                  <w:rPr>
                    <w:rFonts w:ascii="Cambria Math" w:hAnsi="Cambria Math"/>
                    <w:lang w:eastAsia="zh-CN"/>
                  </w:rPr>
                  <m:t>     </m:t>
                </m:r>
                <m:m>
                  <m:mPr>
                    <m:mcs>
                      <m:mc>
                        <m:mcPr>
                          <m:count m:val="2"/>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p1+1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p1+2</m:t>
                          </m:r>
                          <m:ctrlPr>
                            <w:rPr>
                              <w:rFonts w:ascii="Cambria Math" w:hAnsi="Cambria Math"/>
                              <w:i/>
                              <w:lang w:eastAsia="zh-CN"/>
                            </w:rPr>
                          </m:ctrlPr>
                        </m:sub>
                      </m:sSub>
                      <m:ctrlPr>
                        <w:rPr>
                          <w:rFonts w:ascii="Cambria Math" w:hAnsi="Cambria Math"/>
                          <w:i/>
                          <w:lang w:eastAsia="zh-CN"/>
                        </w:rPr>
                      </m:ctrlPr>
                    </m:e>
                  </m:mr>
                  <m:mr>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p2+1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p2+2</m:t>
                          </m:r>
                          <m:ctrlPr>
                            <w:rPr>
                              <w:rFonts w:ascii="Cambria Math" w:hAnsi="Cambria Math"/>
                              <w:i/>
                              <w:lang w:eastAsia="zh-CN"/>
                            </w:rPr>
                          </m:ctrlPr>
                        </m:sub>
                      </m:sSub>
                      <m:ctrlPr>
                        <w:rPr>
                          <w:rFonts w:ascii="Cambria Math" w:hAnsi="Cambria Math"/>
                          <w:i/>
                          <w:lang w:eastAsia="zh-CN"/>
                        </w:rPr>
                      </m:ctrlPr>
                    </m:e>
                  </m:mr>
                  <m:mr>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p3+1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p3+2</m:t>
                          </m:r>
                          <m:ctrlPr>
                            <w:rPr>
                              <w:rFonts w:ascii="Cambria Math" w:hAnsi="Cambria Math"/>
                              <w:i/>
                              <w:lang w:eastAsia="zh-CN"/>
                            </w:rPr>
                          </m:ctrlPr>
                        </m:sub>
                      </m:sSub>
                      <m:ctrlPr>
                        <w:rPr>
                          <w:rFonts w:ascii="Cambria Math" w:hAnsi="Cambria Math"/>
                          <w:i/>
                          <w:lang w:eastAsia="zh-CN"/>
                        </w:rPr>
                      </m:ctrlPr>
                    </m:e>
                  </m:mr>
                </m:m>
                <m:ctrlPr>
                  <w:rPr>
                    <w:rFonts w:ascii="Cambria Math" w:hAnsi="Cambria Math"/>
                    <w:i/>
                    <w:lang w:eastAsia="zh-CN"/>
                  </w:rPr>
                </m:ctrlPr>
              </m:e>
              <m:e>
                <m:r>
                  <w:rPr>
                    <w:rFonts w:ascii="Cambria Math" w:hAnsi="Cambria Math"/>
                    <w:lang w:eastAsia="zh-CN"/>
                  </w:rPr>
                  <m:t>…</m:t>
                </m:r>
                <m:ctrlPr>
                  <w:rPr>
                    <w:rFonts w:ascii="Cambria Math" w:hAnsi="Cambria Math"/>
                    <w:i/>
                    <w:lang w:eastAsia="zh-CN"/>
                  </w:rPr>
                </m:ctrlPr>
              </m:e>
            </m:eqArr>
            <m:ctrlPr>
              <w:rPr>
                <w:rFonts w:ascii="Cambria Math" w:hAnsi="Cambria Math"/>
                <w:i/>
                <w:lang w:eastAsia="zh-CN"/>
              </w:rPr>
            </m:ctrlPr>
          </m:e>
        </m:d>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I</m:t>
                          </m:r>
                          <m:ctrlPr>
                            <w:rPr>
                              <w:rFonts w:ascii="Cambria Math" w:hAnsi="Cambria Math"/>
                              <w:i/>
                              <w:lang w:eastAsia="zh-CN"/>
                            </w:rPr>
                          </m:ctrlPr>
                        </m:e>
                        <m:sub>
                          <m:r>
                            <w:rPr>
                              <w:rFonts w:ascii="Cambria Math" w:hAnsi="Cambria Math"/>
                              <w:lang w:eastAsia="zh-CN"/>
                            </w:rPr>
                            <m:t>-2</m:t>
                          </m:r>
                          <m:ctrlPr>
                            <w:rPr>
                              <w:rFonts w:ascii="Cambria Math" w:hAnsi="Cambria Math"/>
                              <w:i/>
                              <w:lang w:eastAsia="zh-CN"/>
                            </w:rPr>
                          </m:ctrlPr>
                        </m:sub>
                      </m:sSub>
                      <m:ctrlPr>
                        <w:rPr>
                          <w:rFonts w:ascii="Cambria Math" w:hAnsi="Cambria Math"/>
                          <w:i/>
                          <w:lang w:eastAsia="zh-CN"/>
                        </w:rPr>
                      </m:ctrlPr>
                    </m:e>
                  </m:mr>
                  <m:mr>
                    <m:e>
                      <m:sSub>
                        <m:sSubPr>
                          <m:ctrlPr>
                            <w:rPr>
                              <w:rFonts w:ascii="Cambria Math" w:hAnsi="Cambria Math"/>
                              <w:i/>
                              <w:lang w:eastAsia="zh-CN"/>
                            </w:rPr>
                          </m:ctrlPr>
                        </m:sSubPr>
                        <m:e>
                          <m:r>
                            <w:rPr>
                              <w:rFonts w:ascii="Cambria Math" w:hAnsi="Cambria Math"/>
                              <w:lang w:eastAsia="zh-CN"/>
                            </w:rPr>
                            <m:t>I</m:t>
                          </m:r>
                          <m:ctrlPr>
                            <w:rPr>
                              <w:rFonts w:ascii="Cambria Math" w:hAnsi="Cambria Math"/>
                              <w:i/>
                              <w:lang w:eastAsia="zh-CN"/>
                            </w:rPr>
                          </m:ctrlPr>
                        </m:e>
                        <m:sub>
                          <m:r>
                            <w:rPr>
                              <w:rFonts w:ascii="Cambria Math" w:hAnsi="Cambria Math"/>
                              <w:lang w:eastAsia="zh-CN"/>
                            </w:rPr>
                            <m:t>-1</m:t>
                          </m:r>
                          <m:ctrlPr>
                            <w:rPr>
                              <w:rFonts w:ascii="Cambria Math" w:hAnsi="Cambria Math"/>
                              <w:i/>
                              <w:lang w:eastAsia="zh-CN"/>
                            </w:rPr>
                          </m:ctrlPr>
                        </m:sub>
                      </m:sSub>
                      <m:ctrlPr>
                        <w:rPr>
                          <w:rFonts w:ascii="Cambria Math" w:hAnsi="Cambria Math"/>
                          <w:i/>
                          <w:lang w:eastAsia="zh-CN"/>
                        </w:rPr>
                      </m:ctrlPr>
                    </m:e>
                  </m:mr>
                  <m:mr>
                    <m:e>
                      <m:sSub>
                        <m:sSubPr>
                          <m:ctrlPr>
                            <w:rPr>
                              <w:rFonts w:ascii="Cambria Math" w:hAnsi="Cambria Math"/>
                              <w:i/>
                              <w:lang w:eastAsia="zh-CN"/>
                            </w:rPr>
                          </m:ctrlPr>
                        </m:sSubPr>
                        <m:e>
                          <m:r>
                            <w:rPr>
                              <w:rFonts w:ascii="Cambria Math" w:hAnsi="Cambria Math"/>
                              <w:lang w:eastAsia="zh-CN"/>
                            </w:rPr>
                            <m:t>I</m:t>
                          </m:r>
                          <m:ctrlPr>
                            <w:rPr>
                              <w:rFonts w:ascii="Cambria Math" w:hAnsi="Cambria Math"/>
                              <w:i/>
                              <w:lang w:eastAsia="zh-CN"/>
                            </w:rPr>
                          </m:ctrlPr>
                        </m:e>
                        <m:sub>
                          <m:r>
                            <w:rPr>
                              <w:rFonts w:ascii="Cambria Math" w:hAnsi="Cambria Math"/>
                              <w:lang w:eastAsia="zh-CN"/>
                            </w:rPr>
                            <m:t>0</m:t>
                          </m:r>
                          <m:ctrlPr>
                            <w:rPr>
                              <w:rFonts w:ascii="Cambria Math" w:hAnsi="Cambria Math"/>
                              <w:i/>
                              <w:lang w:eastAsia="zh-CN"/>
                            </w:rPr>
                          </m:ctrlPr>
                        </m:sub>
                      </m:sSub>
                      <m:ctrlPr>
                        <w:rPr>
                          <w:rFonts w:ascii="Cambria Math" w:hAnsi="Cambria Math"/>
                          <w:i/>
                          <w:lang w:eastAsia="zh-CN"/>
                        </w:rPr>
                      </m:ctrlPr>
                    </m:e>
                  </m:mr>
                </m:m>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I</m:t>
                    </m:r>
                    <m:ctrlPr>
                      <w:rPr>
                        <w:rFonts w:ascii="Cambria Math" w:hAnsi="Cambria Math"/>
                        <w:i/>
                        <w:lang w:eastAsia="zh-CN"/>
                      </w:rPr>
                    </m:ctrlPr>
                  </m:e>
                  <m:sub>
                    <m:r>
                      <w:rPr>
                        <w:rFonts w:ascii="Cambria Math" w:hAnsi="Cambria Math"/>
                        <w:lang w:eastAsia="zh-CN"/>
                      </w:rPr>
                      <m:t>1</m:t>
                    </m:r>
                    <m:ctrlPr>
                      <w:rPr>
                        <w:rFonts w:ascii="Cambria Math" w:hAnsi="Cambria Math"/>
                        <w:i/>
                        <w:lang w:eastAsia="zh-CN"/>
                      </w:rPr>
                    </m:ctrlPr>
                  </m:sub>
                </m:sSub>
                <m:ctrlPr>
                  <w:rPr>
                    <w:rFonts w:ascii="Cambria Math" w:hAnsi="Cambria Math" w:eastAsia="Cambria Math" w:cs="Cambria Math"/>
                    <w:i/>
                  </w:rPr>
                </m:ctrlPr>
              </m:e>
              <m:e>
                <m:sSub>
                  <m:sSubPr>
                    <m:ctrlPr>
                      <w:rPr>
                        <w:rFonts w:ascii="Cambria Math" w:hAnsi="Cambria Math"/>
                        <w:i/>
                        <w:lang w:eastAsia="zh-CN"/>
                      </w:rPr>
                    </m:ctrlPr>
                  </m:sSubPr>
                  <m:e>
                    <m:r>
                      <w:rPr>
                        <w:rFonts w:ascii="Cambria Math" w:hAnsi="Cambria Math"/>
                        <w:lang w:eastAsia="zh-CN"/>
                      </w:rPr>
                      <m:t>I</m:t>
                    </m:r>
                    <m:ctrlPr>
                      <w:rPr>
                        <w:rFonts w:ascii="Cambria Math" w:hAnsi="Cambria Math"/>
                        <w:i/>
                        <w:lang w:eastAsia="zh-CN"/>
                      </w:rPr>
                    </m:ctrlPr>
                  </m:e>
                  <m:sub>
                    <m:r>
                      <w:rPr>
                        <w:rFonts w:ascii="Cambria Math" w:hAnsi="Cambria Math"/>
                        <w:lang w:eastAsia="zh-CN"/>
                      </w:rPr>
                      <m:t>2</m:t>
                    </m:r>
                    <m:ctrlPr>
                      <w:rPr>
                        <w:rFonts w:ascii="Cambria Math" w:hAnsi="Cambria Math"/>
                        <w:i/>
                        <w:lang w:eastAsia="zh-CN"/>
                      </w:rPr>
                    </m:ctrlPr>
                  </m:sub>
                </m:sSub>
                <m:ctrlPr>
                  <w:rPr>
                    <w:rFonts w:ascii="Cambria Math" w:hAnsi="Cambria Math"/>
                    <w:i/>
                    <w:lang w:eastAsia="zh-CN"/>
                  </w:rPr>
                </m:ctrlPr>
              </m:e>
            </m:eqArr>
            <m:ctrlPr>
              <w:rPr>
                <w:rFonts w:ascii="Cambria Math" w:hAnsi="Cambria Math"/>
                <w:i/>
                <w:lang w:eastAsia="zh-CN"/>
              </w:rPr>
            </m:ctrlP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S</m:t>
                    </m:r>
                    <m:ctrlPr>
                      <w:rPr>
                        <w:rFonts w:ascii="Cambria Math" w:hAnsi="Cambria Math"/>
                        <w:i/>
                        <w:lang w:eastAsia="zh-CN"/>
                      </w:rPr>
                    </m:ctrlPr>
                  </m:e>
                  <m:sub>
                    <m:r>
                      <w:rPr>
                        <w:rFonts w:ascii="Cambria Math" w:hAnsi="Cambria Math"/>
                        <w:lang w:eastAsia="zh-CN"/>
                      </w:rPr>
                      <m:t>p1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S</m:t>
                    </m:r>
                    <m:ctrlPr>
                      <w:rPr>
                        <w:rFonts w:ascii="Cambria Math" w:hAnsi="Cambria Math"/>
                        <w:i/>
                        <w:lang w:eastAsia="zh-CN"/>
                      </w:rPr>
                    </m:ctrlPr>
                  </m:e>
                  <m:sub>
                    <m:r>
                      <w:rPr>
                        <w:rFonts w:ascii="Cambria Math" w:hAnsi="Cambria Math"/>
                        <w:lang w:eastAsia="zh-CN"/>
                      </w:rPr>
                      <m:t>p2</m:t>
                    </m:r>
                    <m:ctrlPr>
                      <w:rPr>
                        <w:rFonts w:ascii="Cambria Math" w:hAnsi="Cambria Math"/>
                        <w:i/>
                        <w:lang w:eastAsia="zh-CN"/>
                      </w:rPr>
                    </m:ctrlPr>
                  </m:sub>
                </m:sSub>
                <m:ctrlPr>
                  <w:rPr>
                    <w:rFonts w:ascii="Cambria Math" w:hAnsi="Cambria Math" w:eastAsia="Cambria Math" w:cs="Cambria Math"/>
                    <w:i/>
                  </w:rPr>
                </m:ctrlPr>
              </m:e>
              <m:e>
                <m:sSub>
                  <m:sSubPr>
                    <m:ctrlPr>
                      <w:rPr>
                        <w:rFonts w:ascii="Cambria Math" w:hAnsi="Cambria Math"/>
                        <w:i/>
                        <w:lang w:eastAsia="zh-CN"/>
                      </w:rPr>
                    </m:ctrlPr>
                  </m:sSubPr>
                  <m:e>
                    <m:r>
                      <w:rPr>
                        <w:rFonts w:ascii="Cambria Math" w:hAnsi="Cambria Math"/>
                        <w:lang w:eastAsia="zh-CN"/>
                      </w:rPr>
                      <m:t>S</m:t>
                    </m:r>
                    <m:ctrlPr>
                      <w:rPr>
                        <w:rFonts w:ascii="Cambria Math" w:hAnsi="Cambria Math"/>
                        <w:i/>
                        <w:lang w:eastAsia="zh-CN"/>
                      </w:rPr>
                    </m:ctrlPr>
                  </m:e>
                  <m:sub>
                    <m:r>
                      <w:rPr>
                        <w:rFonts w:ascii="Cambria Math" w:hAnsi="Cambria Math"/>
                        <w:lang w:eastAsia="zh-CN"/>
                      </w:rPr>
                      <m:t>p3</m:t>
                    </m:r>
                    <m:ctrlPr>
                      <w:rPr>
                        <w:rFonts w:ascii="Cambria Math" w:hAnsi="Cambria Math"/>
                        <w:i/>
                        <w:lang w:eastAsia="zh-CN"/>
                      </w:rPr>
                    </m:ctrlPr>
                  </m:sub>
                </m:sSub>
                <m:ctrlPr>
                  <w:rPr>
                    <w:rFonts w:ascii="Cambria Math" w:hAnsi="Cambria Math" w:eastAsia="Cambria Math" w:cs="Cambria Math"/>
                    <w:i/>
                  </w:rPr>
                </m:ctrlPr>
              </m:e>
              <m:e>
                <m:r>
                  <w:rPr>
                    <w:rFonts w:ascii="Cambria Math" w:hAnsi="Cambria Math" w:eastAsia="Cambria Math" w:cs="Cambria Math"/>
                  </w:rPr>
                  <m:t>…</m:t>
                </m:r>
                <m:ctrlPr>
                  <w:rPr>
                    <w:rFonts w:ascii="Cambria Math" w:hAnsi="Cambria Math"/>
                    <w:i/>
                    <w:lang w:eastAsia="zh-CN"/>
                  </w:rPr>
                </m:ctrlPr>
              </m:e>
            </m:eqArr>
            <m:ctrlPr>
              <w:rPr>
                <w:rFonts w:ascii="Cambria Math" w:hAnsi="Cambria Math"/>
                <w:i/>
                <w:lang w:eastAsia="zh-CN"/>
              </w:rPr>
            </m:ctrlPr>
          </m:e>
        </m:d>
        <m:r>
          <w:rPr>
            <w:rFonts w:ascii="Cambria Math" w:hAnsi="Cambria Math"/>
            <w:lang w:eastAsia="zh-CN"/>
          </w:rPr>
          <m:t>+</m:t>
        </m:r>
        <m:r>
          <m:rPr>
            <m:sty m:val="bi"/>
          </m:rPr>
          <w:rPr>
            <w:rFonts w:ascii="Cambria Math" w:hAnsi="Cambria Math"/>
            <w:lang w:eastAsia="zh-CN"/>
          </w:rPr>
          <m:t>n</m:t>
        </m:r>
      </m:oMath>
      <w:r>
        <w:rPr>
          <w:b/>
          <w:lang w:eastAsia="zh-CN"/>
        </w:rPr>
        <w:t xml:space="preserve">                                    </w:t>
      </w:r>
      <w:r>
        <w:rPr>
          <w:lang w:eastAsia="zh-CN"/>
        </w:rPr>
        <w:t>(</w:t>
      </w:r>
      <w:r>
        <w:rPr>
          <w:rFonts w:hint="eastAsia"/>
          <w:lang w:val="en-US" w:eastAsia="zh-CN"/>
        </w:rPr>
        <w:t>1</w:t>
      </w:r>
      <w:r>
        <w:rPr>
          <w:lang w:eastAsia="zh-CN"/>
        </w:rPr>
        <w:t>)</w:t>
      </w:r>
    </w:p>
    <w:p>
      <w:pPr>
        <w:rPr>
          <w:lang w:val="en-US" w:eastAsia="zh-CN"/>
        </w:rPr>
      </w:pPr>
    </w:p>
    <w:p>
      <w:pPr>
        <w:rPr>
          <w:lang w:val="en-US" w:eastAsia="zh-CN"/>
        </w:rPr>
      </w:pPr>
      <w:r>
        <w:rPr>
          <w:rFonts w:hint="eastAsia"/>
          <w:lang w:val="en-US" w:eastAsia="zh-CN"/>
        </w:rPr>
        <w:t>In the following, we provide the simulation results of block PTRS with 3dB power boosting to compare with legacy PTRS without power boosting.</w:t>
      </w:r>
    </w:p>
    <w:p>
      <w:pPr>
        <w:rPr>
          <w:lang w:val="en-US" w:eastAsia="zh-CN"/>
        </w:rPr>
      </w:pPr>
    </w:p>
    <w:p>
      <w:pPr>
        <w:jc w:val="center"/>
        <w:rPr>
          <w:rFonts w:eastAsia="宋体"/>
          <w:lang w:val="en-US" w:eastAsia="zh-CN"/>
        </w:rPr>
      </w:pPr>
      <w:r>
        <w:rPr>
          <w:lang w:val="en-US" w:eastAsia="zh-CN"/>
        </w:rPr>
        <w:drawing>
          <wp:inline distT="0" distB="0" distL="114300" distR="114300">
            <wp:extent cx="2719070" cy="2039620"/>
            <wp:effectExtent l="0" t="0" r="5080" b="17780"/>
            <wp:docPr id="5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0"/>
                    <pic:cNvPicPr>
                      <a:picLocks noChangeAspect="1"/>
                    </pic:cNvPicPr>
                  </pic:nvPicPr>
                  <pic:blipFill>
                    <a:blip r:embed="rId24"/>
                    <a:stretch>
                      <a:fillRect/>
                    </a:stretch>
                  </pic:blipFill>
                  <pic:spPr>
                    <a:xfrm>
                      <a:off x="0" y="0"/>
                      <a:ext cx="2719070" cy="2039620"/>
                    </a:xfrm>
                    <a:prstGeom prst="rect">
                      <a:avLst/>
                    </a:prstGeom>
                    <a:noFill/>
                    <a:ln>
                      <a:noFill/>
                    </a:ln>
                  </pic:spPr>
                </pic:pic>
              </a:graphicData>
            </a:graphic>
          </wp:inline>
        </w:drawing>
      </w:r>
      <w:r>
        <w:rPr>
          <w:lang w:val="en-US" w:eastAsia="zh-CN"/>
        </w:rPr>
        <w:drawing>
          <wp:inline distT="0" distB="0" distL="114300" distR="114300">
            <wp:extent cx="2746375" cy="2059940"/>
            <wp:effectExtent l="0" t="0" r="15875" b="16510"/>
            <wp:docPr id="5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1"/>
                    <pic:cNvPicPr>
                      <a:picLocks noChangeAspect="1"/>
                    </pic:cNvPicPr>
                  </pic:nvPicPr>
                  <pic:blipFill>
                    <a:blip r:embed="rId25"/>
                    <a:stretch>
                      <a:fillRect/>
                    </a:stretch>
                  </pic:blipFill>
                  <pic:spPr>
                    <a:xfrm>
                      <a:off x="0" y="0"/>
                      <a:ext cx="2746375" cy="2059940"/>
                    </a:xfrm>
                    <a:prstGeom prst="rect">
                      <a:avLst/>
                    </a:prstGeom>
                    <a:noFill/>
                    <a:ln>
                      <a:noFill/>
                    </a:ln>
                  </pic:spPr>
                </pic:pic>
              </a:graphicData>
            </a:graphic>
          </wp:inline>
        </w:drawing>
      </w:r>
    </w:p>
    <w:p>
      <w:pPr>
        <w:jc w:val="center"/>
        <w:rPr>
          <w:rFonts w:eastAsia="宋体"/>
          <w:lang w:val="en-US" w:eastAsia="zh-CN"/>
        </w:rPr>
      </w:pPr>
      <w:r>
        <w:rPr>
          <w:rFonts w:hint="eastAsia" w:eastAsia="宋体"/>
          <w:lang w:val="en-US" w:eastAsia="zh-CN"/>
        </w:rPr>
        <w:t>Figure 2.4.1-5 Performance of power boosting</w:t>
      </w:r>
    </w:p>
    <w:p>
      <w:pPr>
        <w:jc w:val="both"/>
        <w:rPr>
          <w:rFonts w:eastAsia="宋体"/>
          <w:lang w:val="en-US" w:eastAsia="zh-CN"/>
        </w:rPr>
      </w:pPr>
      <w:r>
        <w:rPr>
          <w:rFonts w:hint="eastAsia" w:eastAsia="宋体"/>
          <w:lang w:val="en-US" w:eastAsia="zh-CN"/>
        </w:rPr>
        <w:t>As shown in Figure 2.4.1-5, for 120kHz and 480kHz SCS with 256 PRBs, the PTRS overhead is kept the same for different PTRS patterns(K=2), although power boosting can provide about 0.5dB gain for block PTRS in some scenarios, the performance of legacy PTRS without power boosting is still better than block PTRS.</w:t>
      </w:r>
    </w:p>
    <w:p>
      <w:pPr>
        <w:jc w:val="both"/>
        <w:rPr>
          <w:rFonts w:eastAsia="宋体"/>
          <w:lang w:val="en-US" w:eastAsia="zh-CN"/>
        </w:rPr>
      </w:pPr>
      <w:r>
        <w:rPr>
          <w:rFonts w:hint="eastAsia" w:eastAsia="宋体"/>
          <w:lang w:val="en-US" w:eastAsia="zh-CN"/>
        </w:rPr>
        <w:t>It seems that the PN estimation accuracy has already been achieved by a long PTRS sequence, power boosting for PTRS may not further improve the performance. Besides, considering that the total power of data and reference signals should be kept unchanged, the overall performance with power boosting is doubtful.</w:t>
      </w:r>
    </w:p>
    <w:p>
      <w:pPr>
        <w:jc w:val="both"/>
        <w:rPr>
          <w:rFonts w:hint="eastAsia" w:eastAsia="宋体"/>
          <w:b/>
          <w:bCs/>
          <w:lang w:val="en-US" w:eastAsia="zh-CN"/>
        </w:rPr>
      </w:pPr>
      <w:r>
        <w:rPr>
          <w:rFonts w:hint="eastAsia" w:eastAsia="宋体"/>
          <w:b/>
          <w:bCs/>
          <w:lang w:val="en-US" w:eastAsia="zh-CN"/>
        </w:rPr>
        <w:t xml:space="preserve">Observation 3: Block PTRS with power boosting cannot achieve better performance than legacy PTRS. </w:t>
      </w:r>
    </w:p>
    <w:p>
      <w:pPr>
        <w:jc w:val="both"/>
        <w:rPr>
          <w:rFonts w:hint="eastAsia" w:eastAsia="宋体"/>
          <w:b w:val="0"/>
          <w:bCs w:val="0"/>
          <w:lang w:val="en-US" w:eastAsia="zh-CN"/>
        </w:rPr>
      </w:pPr>
      <w:r>
        <w:rPr>
          <w:rFonts w:hint="eastAsia" w:eastAsia="宋体"/>
          <w:b w:val="0"/>
          <w:bCs w:val="0"/>
          <w:lang w:val="en-US" w:eastAsia="zh-CN"/>
        </w:rPr>
        <w:t>A new PTRS pattern may require a different PTRS sequence construction in spec. In addition, introducing any of the PTRS enhancement may result in a change on RRC parameters and signaling. For example, for block PTRS with cyclic sequence, new parameters such as number of blocks, size of block, length of circular sequence need to be defined. Since legacy PTRS has been already supported in FR2-2, PTRS pattern type needs to be indicated to UE through explicit or implicit signaling. Therefore, introducing a new PTRS pattern requires great spec efforts.</w:t>
      </w:r>
    </w:p>
    <w:p>
      <w:pPr>
        <w:jc w:val="both"/>
        <w:rPr>
          <w:rFonts w:hint="eastAsia" w:eastAsia="宋体"/>
          <w:b/>
          <w:bCs/>
          <w:lang w:val="en-US" w:eastAsia="zh-CN"/>
        </w:rPr>
      </w:pPr>
      <w:r>
        <w:rPr>
          <w:rFonts w:hint="eastAsia" w:eastAsia="宋体"/>
          <w:b/>
          <w:bCs/>
          <w:lang w:val="en-US" w:eastAsia="zh-CN"/>
        </w:rPr>
        <w:t>Observation 4: Introducing a new PTRS pattern requires great spec efforts at least on sequence construction, RRC parameters and PTRS pattern type indication.</w:t>
      </w:r>
    </w:p>
    <w:p>
      <w:pPr>
        <w:jc w:val="both"/>
        <w:rPr>
          <w:rFonts w:eastAsia="宋体"/>
          <w:b/>
          <w:bCs/>
          <w:lang w:val="en-US" w:eastAsia="zh-CN"/>
        </w:rPr>
      </w:pPr>
      <w:r>
        <w:rPr>
          <w:rFonts w:hint="eastAsia" w:eastAsia="宋体"/>
          <w:b/>
          <w:bCs/>
          <w:lang w:val="en-US" w:eastAsia="zh-CN"/>
        </w:rPr>
        <w:t xml:space="preserve">Proposal 12: </w:t>
      </w:r>
      <w:r>
        <w:rPr>
          <w:rFonts w:eastAsia="宋体"/>
          <w:b/>
          <w:bCs/>
          <w:lang w:val="en-US" w:eastAsia="zh-CN"/>
        </w:rPr>
        <w:t>Reuse</w:t>
      </w:r>
      <w:r>
        <w:rPr>
          <w:rFonts w:hint="eastAsia" w:eastAsia="宋体"/>
          <w:b/>
          <w:bCs/>
          <w:lang w:val="en-US" w:eastAsia="zh-CN"/>
        </w:rPr>
        <w:t xml:space="preserve"> the Rel-15 legacy PTRS pattern for 52.6GHz~71GHz.</w:t>
      </w:r>
    </w:p>
    <w:p>
      <w:pPr>
        <w:pStyle w:val="4"/>
        <w:rPr>
          <w:lang w:val="en-US" w:eastAsia="zh-CN"/>
        </w:rPr>
      </w:pPr>
      <w:r>
        <w:rPr>
          <w:rFonts w:hint="eastAsia"/>
          <w:lang w:val="en-US" w:eastAsia="zh-CN"/>
        </w:rPr>
        <w:t xml:space="preserve"> DFT-s-OFDM </w:t>
      </w:r>
    </w:p>
    <w:p>
      <w:r>
        <w:rPr>
          <w:rFonts w:hint="eastAsia"/>
          <w:lang w:val="en-US" w:eastAsia="zh-CN"/>
        </w:rPr>
        <w:t xml:space="preserve">Regarding the PTRS pattern for DFT-s-OFDM waveform, five different configurations can be chosen according to the allocated RB number as shown in </w:t>
      </w:r>
      <w:bookmarkStart w:id="7" w:name="OLE_LINK7"/>
      <w:r>
        <w:rPr>
          <w:rFonts w:hint="eastAsia"/>
          <w:lang w:val="en-US" w:eastAsia="zh-CN"/>
        </w:rPr>
        <w:t>Table 6.2.3.2-1</w:t>
      </w:r>
      <w:bookmarkEnd w:id="7"/>
      <w:r>
        <w:rPr>
          <w:rFonts w:hint="eastAsia"/>
          <w:lang w:val="en-US" w:eastAsia="zh-CN"/>
        </w:rPr>
        <w:t xml:space="preserve">[3]. </w:t>
      </w:r>
    </w:p>
    <w:p>
      <w:r>
        <w:rPr>
          <w:lang w:val="en-US" w:eastAsia="zh-CN"/>
        </w:rPr>
        <w:drawing>
          <wp:inline distT="0" distB="0" distL="0" distR="0">
            <wp:extent cx="6120765" cy="1760220"/>
            <wp:effectExtent l="0" t="0" r="0" b="0"/>
            <wp:docPr id="8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120765" cy="1760672"/>
                    </a:xfrm>
                    <a:prstGeom prst="rect">
                      <a:avLst/>
                    </a:prstGeom>
                    <a:noFill/>
                    <a:ln>
                      <a:noFill/>
                    </a:ln>
                  </pic:spPr>
                </pic:pic>
              </a:graphicData>
            </a:graphic>
          </wp:inline>
        </w:drawing>
      </w:r>
    </w:p>
    <w:p>
      <w:pPr>
        <w:rPr>
          <w:lang w:val="en-US" w:eastAsia="zh-CN"/>
        </w:rPr>
      </w:pPr>
      <w:r>
        <w:rPr>
          <w:rFonts w:hint="eastAsia"/>
          <w:lang w:val="en-US" w:eastAsia="zh-CN"/>
        </w:rPr>
        <w:t xml:space="preserve">In RAN1 #104b-e meeting, some companies propose that increasing the number of PTRS groups can bring performance gain for 120kHz DFT-s-OFDM waveform with large allocated PRB number(e.g. 256 PRBs). Moderator suggest to evaluate the specific PTRS density configuration in the following agreement. </w:t>
      </w:r>
    </w:p>
    <w:p>
      <w:pPr>
        <w:rPr>
          <w:rFonts w:ascii="Arial" w:hAnsi="Arial" w:cs="Arial"/>
          <w:color w:val="000000"/>
          <w:lang w:val="en-US" w:eastAsia="zh-CN"/>
        </w:rPr>
      </w:pPr>
      <w:r>
        <w:rPr>
          <w:rFonts w:ascii="Arial" w:hAnsi="Arial" w:cs="Arial"/>
          <w:color w:val="000000"/>
          <w:lang w:val="en-US" w:eastAsia="zh-CN"/>
        </w:rPr>
        <mc:AlternateContent>
          <mc:Choice Requires="wps">
            <w:drawing>
              <wp:inline distT="0" distB="0" distL="0" distR="0">
                <wp:extent cx="6088380" cy="2000885"/>
                <wp:effectExtent l="4445" t="4445" r="22225" b="13970"/>
                <wp:docPr id="59"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88380" cy="2000885"/>
                        </a:xfrm>
                        <a:prstGeom prst="rect">
                          <a:avLst/>
                        </a:prstGeom>
                        <a:solidFill>
                          <a:srgbClr val="FFFFFF"/>
                        </a:solidFill>
                        <a:ln w="9525">
                          <a:solidFill>
                            <a:srgbClr val="000000"/>
                          </a:solidFill>
                          <a:miter lim="800000"/>
                        </a:ln>
                      </wps:spPr>
                      <wps:txb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spacing w:after="0" w:line="240" w:lineRule="auto"/>
                              <w:rPr>
                                <w:rFonts w:ascii="Times" w:hAnsi="Times" w:eastAsia="Batang"/>
                                <w:szCs w:val="24"/>
                              </w:rPr>
                            </w:pPr>
                            <w:r>
                              <w:rPr>
                                <w:rFonts w:ascii="Times" w:hAnsi="Times" w:eastAsia="Batang"/>
                                <w:szCs w:val="24"/>
                              </w:rPr>
                              <w:t>Continue study at least the following aspects for potential PTRS enhancement for DFT-s-OFDM for NR operation in 52.6 to 71 GHz</w:t>
                            </w:r>
                          </w:p>
                          <w:p>
                            <w:pPr>
                              <w:numPr>
                                <w:ilvl w:val="0"/>
                                <w:numId w:val="22"/>
                              </w:numPr>
                              <w:overflowPunct w:val="0"/>
                              <w:autoSpaceDE w:val="0"/>
                              <w:autoSpaceDN w:val="0"/>
                              <w:adjustRightInd w:val="0"/>
                              <w:spacing w:after="0"/>
                              <w:jc w:val="both"/>
                              <w:textAlignment w:val="baseline"/>
                              <w:rPr>
                                <w:rFonts w:eastAsia="MS PMincho"/>
                                <w:lang w:eastAsia="ja-JP"/>
                              </w:rPr>
                            </w:pPr>
                            <w:r>
                              <w:rPr>
                                <w:rFonts w:eastAsia="MS PMincho"/>
                                <w:lang w:eastAsia="ja-JP"/>
                              </w:rPr>
                              <w:t>The need of potential PTRS enhancement</w:t>
                            </w:r>
                          </w:p>
                          <w:p>
                            <w:pPr>
                              <w:numPr>
                                <w:ilvl w:val="0"/>
                                <w:numId w:val="22"/>
                              </w:numPr>
                              <w:rPr>
                                <w:rFonts w:eastAsia="Batang"/>
                              </w:rPr>
                            </w:pPr>
                            <w:r>
                              <w:rPr>
                                <w:rFonts w:eastAsia="Batang"/>
                              </w:rPr>
                              <w:t>PTRS pattern with more PTRS groups within one DFT-s-OFDM symbol when a large number of PRBs is scheduled</w:t>
                            </w:r>
                          </w:p>
                          <w:p>
                            <w:pPr>
                              <w:numPr>
                                <w:ilvl w:val="1"/>
                                <w:numId w:val="22"/>
                              </w:numPr>
                              <w:rPr>
                                <w:rFonts w:eastAsia="Batang"/>
                              </w:rPr>
                            </w:pPr>
                            <w:r>
                              <w:rPr>
                                <w:rFonts w:eastAsia="Batang"/>
                              </w:rPr>
                              <w:t xml:space="preserve">(Ng = 8, Ns = 4, L = 1), (Ng = 16, Ns = 2, L = 1), (Ng = 16, Ns = 4, L = 1), </w:t>
                            </w:r>
                          </w:p>
                          <w:p>
                            <w:pPr>
                              <w:numPr>
                                <w:ilvl w:val="1"/>
                                <w:numId w:val="22"/>
                              </w:numPr>
                              <w:rPr>
                                <w:rFonts w:eastAsia="Batang"/>
                              </w:rPr>
                            </w:pPr>
                            <w:r>
                              <w:rPr>
                                <w:rFonts w:eastAsia="Batang"/>
                              </w:rPr>
                              <w:t>Note: Ng number of PT-RS groups, Ns number of samples per PT-RS group, and PTRS every L number of DFT-s-OFDM symbols</w:t>
                            </w:r>
                          </w:p>
                          <w:p>
                            <w:pPr>
                              <w:numPr>
                                <w:ilvl w:val="1"/>
                                <w:numId w:val="22"/>
                              </w:numPr>
                              <w:rPr>
                                <w:rFonts w:eastAsia="Batang"/>
                              </w:rPr>
                            </w:pPr>
                            <w:r>
                              <w:rPr>
                                <w:rFonts w:eastAsia="Batang"/>
                              </w:rPr>
                              <w:t>Other patterns are not precluded</w:t>
                            </w:r>
                          </w:p>
                          <w:p>
                            <w:pPr>
                              <w:numPr>
                                <w:ilvl w:val="0"/>
                                <w:numId w:val="22"/>
                              </w:numPr>
                              <w:rPr>
                                <w:rFonts w:eastAsia="Batang"/>
                              </w:rPr>
                            </w:pPr>
                            <w:r>
                              <w:rPr>
                                <w:rFonts w:eastAsia="Batang"/>
                              </w:rPr>
                              <w:t>Other aspects of PTRS enhancements are not precluded from further study</w:t>
                            </w:r>
                          </w:p>
                          <w:p>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w:pict>
              <v:shape id="Text Box 2" o:spid="_x0000_s1026" o:spt="202" type="#_x0000_t202" style="height:157.55pt;width:479.4pt;" fillcolor="#FFFFFF" filled="t" stroked="t" coordsize="21600,21600" o:gfxdata="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pHQr1gAAAAUBAAAPAAAAAAAAAAEAIAAA&#10;ACIAAABkcnMvZG93bnJldi54bWxQSwECFAAUAAAACACHTuJA3xutLg4CAAAuBAAADgAAAAAAAAAB&#10;ACAAAAAlAQAAZHJzL2Uyb0RvYy54bWxQSwUGAAAAAAYABgBZAQAApQUAAAAA&#10;">
                <v:fill on="t" focussize="0,0"/>
                <v:stroke color="#000000" miterlimit="8" joinstyle="miter"/>
                <v:imagedata o:title=""/>
                <o:lock v:ext="edit" aspectratio="f"/>
                <v:textbo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spacing w:after="0" w:line="240" w:lineRule="auto"/>
                        <w:rPr>
                          <w:rFonts w:ascii="Times" w:hAnsi="Times" w:eastAsia="Batang"/>
                          <w:szCs w:val="24"/>
                        </w:rPr>
                      </w:pPr>
                      <w:r>
                        <w:rPr>
                          <w:rFonts w:ascii="Times" w:hAnsi="Times" w:eastAsia="Batang"/>
                          <w:szCs w:val="24"/>
                        </w:rPr>
                        <w:t>Continue study at least the following aspects for potential PTRS enhancement for DFT-s-OFDM for NR operation in 52.6 to 71 GHz</w:t>
                      </w:r>
                    </w:p>
                    <w:p>
                      <w:pPr>
                        <w:numPr>
                          <w:ilvl w:val="0"/>
                          <w:numId w:val="22"/>
                        </w:numPr>
                        <w:overflowPunct w:val="0"/>
                        <w:autoSpaceDE w:val="0"/>
                        <w:autoSpaceDN w:val="0"/>
                        <w:adjustRightInd w:val="0"/>
                        <w:spacing w:after="0"/>
                        <w:jc w:val="both"/>
                        <w:textAlignment w:val="baseline"/>
                        <w:rPr>
                          <w:rFonts w:eastAsia="MS PMincho"/>
                          <w:lang w:eastAsia="ja-JP"/>
                        </w:rPr>
                      </w:pPr>
                      <w:r>
                        <w:rPr>
                          <w:rFonts w:eastAsia="MS PMincho"/>
                          <w:lang w:eastAsia="ja-JP"/>
                        </w:rPr>
                        <w:t>The need of potential PTRS enhancement</w:t>
                      </w:r>
                    </w:p>
                    <w:p>
                      <w:pPr>
                        <w:numPr>
                          <w:ilvl w:val="0"/>
                          <w:numId w:val="22"/>
                        </w:numPr>
                        <w:rPr>
                          <w:rFonts w:eastAsia="Batang"/>
                        </w:rPr>
                      </w:pPr>
                      <w:r>
                        <w:rPr>
                          <w:rFonts w:eastAsia="Batang"/>
                        </w:rPr>
                        <w:t>PTRS pattern with more PTRS groups within one DFT-s-OFDM symbol when a large number of PRBs is scheduled</w:t>
                      </w:r>
                    </w:p>
                    <w:p>
                      <w:pPr>
                        <w:numPr>
                          <w:ilvl w:val="1"/>
                          <w:numId w:val="22"/>
                        </w:numPr>
                        <w:rPr>
                          <w:rFonts w:eastAsia="Batang"/>
                        </w:rPr>
                      </w:pPr>
                      <w:r>
                        <w:rPr>
                          <w:rFonts w:eastAsia="Batang"/>
                        </w:rPr>
                        <w:t xml:space="preserve">(Ng = 8, Ns = 4, L = 1), (Ng = 16, Ns = 2, L = 1), (Ng = 16, Ns = 4, L = 1), </w:t>
                      </w:r>
                    </w:p>
                    <w:p>
                      <w:pPr>
                        <w:numPr>
                          <w:ilvl w:val="1"/>
                          <w:numId w:val="22"/>
                        </w:numPr>
                        <w:rPr>
                          <w:rFonts w:eastAsia="Batang"/>
                        </w:rPr>
                      </w:pPr>
                      <w:r>
                        <w:rPr>
                          <w:rFonts w:eastAsia="Batang"/>
                        </w:rPr>
                        <w:t>Note: Ng number of PT-RS groups, Ns number of samples per PT-RS group, and PTRS every L number of DFT-s-OFDM symbols</w:t>
                      </w:r>
                    </w:p>
                    <w:p>
                      <w:pPr>
                        <w:numPr>
                          <w:ilvl w:val="1"/>
                          <w:numId w:val="22"/>
                        </w:numPr>
                        <w:rPr>
                          <w:rFonts w:eastAsia="Batang"/>
                        </w:rPr>
                      </w:pPr>
                      <w:r>
                        <w:rPr>
                          <w:rFonts w:eastAsia="Batang"/>
                        </w:rPr>
                        <w:t>Other patterns are not precluded</w:t>
                      </w:r>
                    </w:p>
                    <w:p>
                      <w:pPr>
                        <w:numPr>
                          <w:ilvl w:val="0"/>
                          <w:numId w:val="22"/>
                        </w:numPr>
                        <w:rPr>
                          <w:rFonts w:eastAsia="Batang"/>
                        </w:rPr>
                      </w:pPr>
                      <w:r>
                        <w:rPr>
                          <w:rFonts w:eastAsia="Batang"/>
                        </w:rPr>
                        <w:t>Other aspects of PTRS enhancements are not precluded from further study</w:t>
                      </w:r>
                    </w:p>
                    <w:p>
                      <w:pPr>
                        <w:numPr>
                          <w:ilvl w:val="255"/>
                          <w:numId w:val="0"/>
                        </w:numPr>
                        <w:spacing w:after="0" w:line="240" w:lineRule="auto"/>
                        <w:rPr>
                          <w:b/>
                          <w:bCs/>
                          <w:lang w:eastAsia="zh-CN"/>
                        </w:rPr>
                      </w:pPr>
                    </w:p>
                  </w:txbxContent>
                </v:textbox>
                <w10:wrap type="none"/>
                <w10:anchorlock/>
              </v:shape>
            </w:pict>
          </mc:Fallback>
        </mc:AlternateContent>
      </w:r>
    </w:p>
    <w:p>
      <w:pPr>
        <w:rPr>
          <w:rFonts w:ascii="Arial" w:hAnsi="Arial" w:cs="Arial"/>
          <w:color w:val="000000"/>
          <w:lang w:val="en-US" w:eastAsia="zh-CN"/>
        </w:rPr>
      </w:pPr>
      <w:r>
        <w:rPr>
          <w:rFonts w:hint="eastAsia"/>
          <w:lang w:val="en-US" w:eastAsia="zh-CN"/>
        </w:rPr>
        <w:t xml:space="preserve">In this chapter, we further evaluate the performance of PTRS enhancement for DFT-s-OFDM with increased PTRS groups, we assume the allocated PRB number is 256 and MCS equal to 22. </w:t>
      </w:r>
    </w:p>
    <w:p>
      <w:r>
        <w:rPr>
          <w:lang w:val="en-US" w:eastAsia="zh-CN"/>
        </w:rPr>
        <w:drawing>
          <wp:inline distT="0" distB="0" distL="114300" distR="114300">
            <wp:extent cx="2833370" cy="2127885"/>
            <wp:effectExtent l="0" t="0" r="0" b="571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7"/>
                    <a:stretch>
                      <a:fillRect/>
                    </a:stretch>
                  </pic:blipFill>
                  <pic:spPr>
                    <a:xfrm>
                      <a:off x="0" y="0"/>
                      <a:ext cx="2833370" cy="2127885"/>
                    </a:xfrm>
                    <a:prstGeom prst="rect">
                      <a:avLst/>
                    </a:prstGeom>
                    <a:noFill/>
                    <a:ln w="9525">
                      <a:noFill/>
                    </a:ln>
                  </pic:spPr>
                </pic:pic>
              </a:graphicData>
            </a:graphic>
          </wp:inline>
        </w:drawing>
      </w:r>
      <w:r>
        <w:rPr>
          <w:lang w:val="en-US" w:eastAsia="zh-CN"/>
        </w:rPr>
        <w:drawing>
          <wp:inline distT="0" distB="0" distL="114300" distR="114300">
            <wp:extent cx="2787015" cy="2094230"/>
            <wp:effectExtent l="0" t="0" r="0" b="127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8"/>
                    <a:stretch>
                      <a:fillRect/>
                    </a:stretch>
                  </pic:blipFill>
                  <pic:spPr>
                    <a:xfrm>
                      <a:off x="0" y="0"/>
                      <a:ext cx="2787015" cy="2094230"/>
                    </a:xfrm>
                    <a:prstGeom prst="rect">
                      <a:avLst/>
                    </a:prstGeom>
                    <a:noFill/>
                    <a:ln w="9525">
                      <a:noFill/>
                    </a:ln>
                  </pic:spPr>
                </pic:pic>
              </a:graphicData>
            </a:graphic>
          </wp:inline>
        </w:drawing>
      </w:r>
    </w:p>
    <w:p>
      <w:pPr>
        <w:jc w:val="center"/>
        <w:rPr>
          <w:lang w:val="en-US" w:eastAsia="zh-CN"/>
        </w:rPr>
      </w:pPr>
      <w:r>
        <w:rPr>
          <w:lang w:val="en-US" w:eastAsia="zh-CN"/>
        </w:rPr>
        <w:drawing>
          <wp:inline distT="0" distB="0" distL="114300" distR="114300">
            <wp:extent cx="2674620" cy="2099310"/>
            <wp:effectExtent l="0" t="0" r="0" b="1524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29"/>
                    <a:stretch>
                      <a:fillRect/>
                    </a:stretch>
                  </pic:blipFill>
                  <pic:spPr>
                    <a:xfrm>
                      <a:off x="0" y="0"/>
                      <a:ext cx="2674620" cy="2099310"/>
                    </a:xfrm>
                    <a:prstGeom prst="rect">
                      <a:avLst/>
                    </a:prstGeom>
                    <a:noFill/>
                    <a:ln w="9525">
                      <a:noFill/>
                    </a:ln>
                  </pic:spPr>
                </pic:pic>
              </a:graphicData>
            </a:graphic>
          </wp:inline>
        </w:drawing>
      </w:r>
    </w:p>
    <w:p>
      <w:pPr>
        <w:jc w:val="center"/>
        <w:rPr>
          <w:lang w:val="en-US" w:eastAsia="zh-CN"/>
        </w:rPr>
      </w:pPr>
      <w:r>
        <w:rPr>
          <w:rFonts w:hint="eastAsia"/>
          <w:lang w:val="en-US" w:eastAsia="zh-CN"/>
        </w:rPr>
        <w:t>Figure 2.4.2-1 BLER vs SNR performance of DFT-s-OFDM</w:t>
      </w:r>
    </w:p>
    <w:p>
      <w:pPr>
        <w:rPr>
          <w:lang w:val="en-US" w:eastAsia="zh-CN"/>
        </w:rPr>
      </w:pPr>
      <w:r>
        <w:rPr>
          <w:rFonts w:hint="eastAsia"/>
          <w:lang w:val="en-US" w:eastAsia="zh-CN"/>
        </w:rPr>
        <w:t xml:space="preserve">According to the BLER vs SNR curves with 256 PRBs as shown in Figure 2.4.2-1,  </w:t>
      </w:r>
    </w:p>
    <w:p>
      <w:pPr>
        <w:numPr>
          <w:ilvl w:val="0"/>
          <w:numId w:val="23"/>
        </w:numPr>
        <w:rPr>
          <w:lang w:val="en-US" w:eastAsia="zh-CN"/>
        </w:rPr>
      </w:pPr>
      <w:r>
        <w:rPr>
          <w:rFonts w:hint="eastAsia"/>
          <w:lang w:val="en-US" w:eastAsia="zh-CN"/>
        </w:rPr>
        <w:t>With 10ns and 20ns delay spread, the performance of PTRS configuration</w:t>
      </w:r>
      <w:r>
        <w:rPr>
          <w:lang w:val="en-US" w:eastAsia="zh-CN"/>
        </w:rPr>
        <w:t xml:space="preserve"> </w:t>
      </w:r>
      <w:r>
        <w:rPr>
          <w:rFonts w:hint="eastAsia"/>
          <w:lang w:val="en-US" w:eastAsia="zh-CN"/>
        </w:rPr>
        <w:t>(Ng=8, Ns=4) cannot achieve 1% BLER and there is an error floor.</w:t>
      </w:r>
    </w:p>
    <w:p>
      <w:pPr>
        <w:numPr>
          <w:ilvl w:val="0"/>
          <w:numId w:val="23"/>
        </w:numPr>
        <w:rPr>
          <w:lang w:val="en-US" w:eastAsia="zh-CN"/>
        </w:rPr>
      </w:pPr>
      <w:r>
        <w:rPr>
          <w:rFonts w:hint="eastAsia"/>
          <w:lang w:val="en-US" w:eastAsia="zh-CN"/>
        </w:rPr>
        <w:t>PTRS configuration</w:t>
      </w:r>
      <w:r>
        <w:rPr>
          <w:lang w:val="en-US" w:eastAsia="zh-CN"/>
        </w:rPr>
        <w:t xml:space="preserve"> </w:t>
      </w:r>
      <w:r>
        <w:rPr>
          <w:rFonts w:hint="eastAsia"/>
          <w:lang w:val="en-US" w:eastAsia="zh-CN"/>
        </w:rPr>
        <w:t>(Ng=16, Ns=2) can bring 0.5dB, 0.7dB and 4.7dB performance gain compared with PTRS configuration</w:t>
      </w:r>
      <w:r>
        <w:rPr>
          <w:lang w:val="en-US" w:eastAsia="zh-CN"/>
        </w:rPr>
        <w:t xml:space="preserve"> </w:t>
      </w:r>
      <w:r>
        <w:rPr>
          <w:rFonts w:hint="eastAsia"/>
          <w:lang w:val="en-US" w:eastAsia="zh-CN"/>
        </w:rPr>
        <w:t>(Ns=8, Ns=4) with delay spread 5ns, 10ns and 15ns respectively.</w:t>
      </w:r>
    </w:p>
    <w:p>
      <w:pPr>
        <w:numPr>
          <w:ilvl w:val="0"/>
          <w:numId w:val="23"/>
        </w:numPr>
        <w:rPr>
          <w:lang w:val="en-US" w:eastAsia="zh-CN"/>
        </w:rPr>
      </w:pPr>
      <w:r>
        <w:rPr>
          <w:rFonts w:hint="eastAsia"/>
          <w:lang w:val="en-US" w:eastAsia="zh-CN"/>
        </w:rPr>
        <w:t>PTRS configuration</w:t>
      </w:r>
      <w:r>
        <w:rPr>
          <w:lang w:val="en-US" w:eastAsia="zh-CN"/>
        </w:rPr>
        <w:t xml:space="preserve"> </w:t>
      </w:r>
      <w:r>
        <w:rPr>
          <w:rFonts w:hint="eastAsia"/>
          <w:lang w:val="en-US" w:eastAsia="zh-CN"/>
        </w:rPr>
        <w:t>(Ng=16, Ns=4) can bring 1.9dB, 2.4dB and 6.4dB performance gain compared with PTRS configuration</w:t>
      </w:r>
      <w:r>
        <w:rPr>
          <w:lang w:val="en-US" w:eastAsia="zh-CN"/>
        </w:rPr>
        <w:t xml:space="preserve"> </w:t>
      </w:r>
      <w:r>
        <w:rPr>
          <w:rFonts w:hint="eastAsia"/>
          <w:lang w:val="en-US" w:eastAsia="zh-CN"/>
        </w:rPr>
        <w:t>(Ns=8, Ns=4) with delay spread 5ns, 10ns and 15ns respectively.</w:t>
      </w:r>
    </w:p>
    <w:p>
      <w:pPr>
        <w:rPr>
          <w:lang w:val="en-US" w:eastAsia="zh-CN"/>
        </w:rPr>
      </w:pPr>
      <w:r>
        <w:rPr>
          <w:rFonts w:hint="eastAsia"/>
          <w:lang w:val="en-US" w:eastAsia="zh-CN"/>
        </w:rPr>
        <w:t>Since the PTRS overhead of these configurations are different, the spectral efficiency is further evaluated and can be shown below:</w:t>
      </w:r>
    </w:p>
    <w:p>
      <w:r>
        <w:rPr>
          <w:lang w:val="en-US" w:eastAsia="zh-CN"/>
        </w:rPr>
        <w:drawing>
          <wp:inline distT="0" distB="0" distL="114300" distR="114300">
            <wp:extent cx="2653030" cy="1908175"/>
            <wp:effectExtent l="0" t="0" r="0" b="1587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0"/>
                    <a:stretch>
                      <a:fillRect/>
                    </a:stretch>
                  </pic:blipFill>
                  <pic:spPr>
                    <a:xfrm>
                      <a:off x="0" y="0"/>
                      <a:ext cx="2653030" cy="1908175"/>
                    </a:xfrm>
                    <a:prstGeom prst="rect">
                      <a:avLst/>
                    </a:prstGeom>
                    <a:noFill/>
                    <a:ln w="9525">
                      <a:noFill/>
                    </a:ln>
                  </pic:spPr>
                </pic:pic>
              </a:graphicData>
            </a:graphic>
          </wp:inline>
        </w:drawing>
      </w:r>
      <w:r>
        <w:rPr>
          <w:lang w:val="en-US" w:eastAsia="zh-CN"/>
        </w:rPr>
        <w:drawing>
          <wp:inline distT="0" distB="0" distL="114300" distR="114300">
            <wp:extent cx="2560955" cy="1922780"/>
            <wp:effectExtent l="0" t="0" r="0" b="127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31"/>
                    <a:stretch>
                      <a:fillRect/>
                    </a:stretch>
                  </pic:blipFill>
                  <pic:spPr>
                    <a:xfrm>
                      <a:off x="0" y="0"/>
                      <a:ext cx="2560955" cy="1922780"/>
                    </a:xfrm>
                    <a:prstGeom prst="rect">
                      <a:avLst/>
                    </a:prstGeom>
                    <a:noFill/>
                    <a:ln w="9525">
                      <a:noFill/>
                    </a:ln>
                  </pic:spPr>
                </pic:pic>
              </a:graphicData>
            </a:graphic>
          </wp:inline>
        </w:drawing>
      </w:r>
    </w:p>
    <w:p>
      <w:pPr>
        <w:jc w:val="center"/>
      </w:pPr>
      <w:r>
        <w:rPr>
          <w:lang w:val="en-US" w:eastAsia="zh-CN"/>
        </w:rPr>
        <w:drawing>
          <wp:inline distT="0" distB="0" distL="114300" distR="114300">
            <wp:extent cx="2622550" cy="1969135"/>
            <wp:effectExtent l="0" t="0" r="0" b="12065"/>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32"/>
                    <a:stretch>
                      <a:fillRect/>
                    </a:stretch>
                  </pic:blipFill>
                  <pic:spPr>
                    <a:xfrm>
                      <a:off x="0" y="0"/>
                      <a:ext cx="2622550" cy="1969135"/>
                    </a:xfrm>
                    <a:prstGeom prst="rect">
                      <a:avLst/>
                    </a:prstGeom>
                    <a:noFill/>
                    <a:ln w="9525">
                      <a:noFill/>
                    </a:ln>
                  </pic:spPr>
                </pic:pic>
              </a:graphicData>
            </a:graphic>
          </wp:inline>
        </w:drawing>
      </w:r>
    </w:p>
    <w:p>
      <w:pPr>
        <w:jc w:val="center"/>
        <w:rPr>
          <w:rFonts w:eastAsia="宋体"/>
          <w:lang w:val="en-US" w:eastAsia="zh-CN"/>
        </w:rPr>
      </w:pPr>
      <w:r>
        <w:rPr>
          <w:rFonts w:hint="eastAsia" w:eastAsia="宋体"/>
          <w:lang w:val="en-US" w:eastAsia="zh-CN"/>
        </w:rPr>
        <w:t>Figure 2.4.2-2 Spectral efficiency of DFT-s-OFDM</w:t>
      </w:r>
    </w:p>
    <w:p>
      <w:pPr>
        <w:jc w:val="both"/>
        <w:rPr>
          <w:rFonts w:eastAsia="宋体"/>
          <w:lang w:val="en-US" w:eastAsia="zh-CN"/>
        </w:rPr>
      </w:pPr>
      <w:r>
        <w:rPr>
          <w:rFonts w:hint="eastAsia" w:eastAsia="宋体"/>
          <w:lang w:val="en-US" w:eastAsia="zh-CN"/>
        </w:rPr>
        <w:t>As shown in Figure 2.4.2-2, increasing PTRS group can provide performance gain in terms of spectral efficiency even with higher PTRS overhead.</w:t>
      </w:r>
    </w:p>
    <w:p>
      <w:pPr>
        <w:jc w:val="both"/>
        <w:rPr>
          <w:b/>
          <w:bCs/>
          <w:lang w:val="en-US" w:eastAsia="zh-CN"/>
        </w:rPr>
      </w:pPr>
      <w:r>
        <w:rPr>
          <w:rFonts w:hint="eastAsia"/>
          <w:b/>
          <w:bCs/>
          <w:lang w:val="en-US" w:eastAsia="zh-CN"/>
        </w:rPr>
        <w:t>Observation 5: Increasing PTRS groups for DFT-s-OFDM waveform can bring benefit to performance of 120kHz SCS and MCS 22.</w:t>
      </w:r>
    </w:p>
    <w:p>
      <w:pPr>
        <w:rPr>
          <w:b/>
          <w:bCs/>
          <w:lang w:val="en-US" w:eastAsia="zh-CN"/>
        </w:rPr>
      </w:pPr>
      <w:r>
        <w:rPr>
          <w:rFonts w:hint="eastAsia"/>
          <w:b/>
          <w:bCs/>
          <w:lang w:val="en-US" w:eastAsia="zh-CN"/>
        </w:rPr>
        <w:t>Proposal 13: Support to increase the number of PTRS groups for DFT-s-OFDM.</w:t>
      </w:r>
    </w:p>
    <w:p>
      <w:pPr>
        <w:pStyle w:val="3"/>
      </w:pPr>
      <w:r>
        <w:rPr>
          <w:rFonts w:hint="eastAsia" w:eastAsia="宋体"/>
          <w:lang w:val="en-US" w:eastAsia="zh-CN"/>
        </w:rPr>
        <w:t xml:space="preserve"> </w:t>
      </w:r>
      <w:r>
        <w:t>DMRS</w:t>
      </w:r>
      <w:r>
        <w:rPr>
          <w:rFonts w:hint="eastAsia" w:eastAsia="宋体"/>
          <w:lang w:val="en-US" w:eastAsia="zh-CN"/>
        </w:rPr>
        <w:t xml:space="preserve"> enhancement</w:t>
      </w:r>
    </w:p>
    <w:p>
      <w:pPr>
        <w:pStyle w:val="4"/>
        <w:rPr>
          <w:rFonts w:eastAsia="宋体"/>
          <w:b/>
          <w:lang w:val="en-US" w:eastAsia="zh-CN"/>
        </w:rPr>
      </w:pPr>
      <w:r>
        <w:rPr>
          <w:rFonts w:hint="eastAsia"/>
          <w:lang w:val="en-US" w:eastAsia="zh-CN"/>
        </w:rPr>
        <w:t xml:space="preserve"> DMRS ports</w:t>
      </w:r>
      <w:bookmarkEnd w:id="6"/>
    </w:p>
    <w:p>
      <w:pPr>
        <w:jc w:val="both"/>
        <w:rPr>
          <w:rFonts w:hint="default"/>
          <w:lang w:val="en-US" w:eastAsia="zh-CN"/>
        </w:rPr>
      </w:pPr>
      <w:r>
        <w:rPr>
          <w:rFonts w:hint="eastAsia"/>
          <w:lang w:val="en-US" w:eastAsia="zh-CN"/>
        </w:rPr>
        <w:t>In RAN1 #106-e meeting, companies have discussed the impact of turning off FD-OCC, and finally reach a consensus</w:t>
      </w:r>
      <w:r>
        <w:rPr>
          <w:rFonts w:hint="default"/>
          <w:lang w:val="en-US" w:eastAsia="zh-CN"/>
        </w:rPr>
        <w:t xml:space="preserve"> to support a </w:t>
      </w:r>
      <w:r>
        <w:rPr>
          <w:rFonts w:ascii="Times New Roman" w:hAnsi="Times New Roman" w:eastAsia="MS PMincho"/>
          <w:szCs w:val="20"/>
          <w:lang w:eastAsia="ja-JP"/>
        </w:rPr>
        <w:t xml:space="preserve">configuration </w:t>
      </w:r>
      <w:r>
        <w:rPr>
          <w:rFonts w:hint="eastAsia"/>
          <w:lang w:val="en-US" w:eastAsia="zh-CN"/>
        </w:rPr>
        <w:t xml:space="preserve">of </w:t>
      </w:r>
      <w:r>
        <w:rPr>
          <w:rFonts w:hint="default"/>
          <w:lang w:val="en-US" w:eastAsia="zh-CN"/>
        </w:rPr>
        <w:t>FD-OCC off</w:t>
      </w:r>
      <w:r>
        <w:rPr>
          <w:rFonts w:hint="eastAsia"/>
          <w:lang w:val="en-US" w:eastAsia="zh-CN"/>
        </w:rPr>
        <w:t xml:space="preserve"> </w:t>
      </w:r>
      <w:r>
        <w:rPr>
          <w:rFonts w:ascii="Times New Roman" w:hAnsi="Times New Roman" w:eastAsia="MS PMincho"/>
          <w:szCs w:val="20"/>
          <w:lang w:eastAsia="ja-JP"/>
        </w:rPr>
        <w:t>for rank 1 PDSCH at least with DMRS type-1</w:t>
      </w:r>
      <w:r>
        <w:rPr>
          <w:rFonts w:hint="default"/>
          <w:lang w:val="en-US" w:eastAsia="zh-CN"/>
        </w:rPr>
        <w:t xml:space="preserve">. </w:t>
      </w:r>
      <w:r>
        <w:rPr>
          <w:rFonts w:hint="eastAsia"/>
          <w:lang w:val="en-US" w:eastAsia="zh-CN"/>
        </w:rPr>
        <w:t xml:space="preserve">The agreement is shown in the </w:t>
      </w:r>
      <w:r>
        <w:rPr>
          <w:rFonts w:hint="default"/>
          <w:lang w:val="en-US" w:eastAsia="zh-CN"/>
        </w:rPr>
        <w:t>follow</w:t>
      </w:r>
      <w:r>
        <w:rPr>
          <w:rFonts w:hint="eastAsia"/>
          <w:lang w:val="en-US" w:eastAsia="zh-CN"/>
        </w:rPr>
        <w:t>ing.</w:t>
      </w:r>
      <w:r>
        <w:rPr>
          <w:rFonts w:hint="default"/>
          <w:lang w:val="en-US" w:eastAsia="zh-CN"/>
        </w:rPr>
        <w:t xml:space="preserve"> </w:t>
      </w:r>
    </w:p>
    <w:p>
      <w:pPr>
        <w:rPr>
          <w:lang w:val="en-US" w:eastAsia="zh-CN"/>
        </w:rPr>
      </w:pPr>
      <w:r>
        <w:rPr>
          <w:rFonts w:ascii="Arial" w:hAnsi="Arial" w:cs="Arial"/>
          <w:color w:val="000000"/>
          <w:lang w:val="en-US" w:eastAsia="zh-CN"/>
        </w:rPr>
        <mc:AlternateContent>
          <mc:Choice Requires="wps">
            <w:drawing>
              <wp:inline distT="0" distB="0" distL="0" distR="0">
                <wp:extent cx="6088380" cy="3093720"/>
                <wp:effectExtent l="4445" t="4445" r="22225" b="6985"/>
                <wp:docPr id="1"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88380" cy="3093720"/>
                        </a:xfrm>
                        <a:prstGeom prst="rect">
                          <a:avLst/>
                        </a:prstGeom>
                        <a:solidFill>
                          <a:srgbClr val="FFFFFF"/>
                        </a:solidFill>
                        <a:ln w="9525">
                          <a:solidFill>
                            <a:srgbClr val="000000"/>
                          </a:solidFill>
                          <a:miter lim="800000"/>
                        </a:ln>
                      </wps:spPr>
                      <wps:txbx>
                        <w:txbxContent>
                          <w:p>
                            <w:pPr>
                              <w:rPr>
                                <w:iCs/>
                              </w:rPr>
                            </w:pPr>
                            <w:r>
                              <w:rPr>
                                <w:iCs/>
                                <w:highlight w:val="green"/>
                              </w:rPr>
                              <w:t>Agreement:</w:t>
                            </w:r>
                          </w:p>
                          <w:p>
                            <w:pPr>
                              <w:pStyle w:val="129"/>
                              <w:numPr>
                                <w:ilvl w:val="0"/>
                                <w:numId w:val="22"/>
                              </w:numPr>
                              <w:spacing w:line="259" w:lineRule="auto"/>
                              <w:ind w:leftChars="0"/>
                              <w:rPr>
                                <w:rFonts w:ascii="Times New Roman" w:hAnsi="Times New Roman"/>
                                <w:szCs w:val="20"/>
                              </w:rPr>
                            </w:pPr>
                            <w:r>
                              <w:rPr>
                                <w:rFonts w:ascii="Times New Roman" w:hAnsi="Times New Roman"/>
                                <w:szCs w:val="20"/>
                              </w:rPr>
                              <w:t>For 480 kHz and/or 960 kHz SCS</w:t>
                            </w:r>
                            <w:r>
                              <w:rPr>
                                <w:rFonts w:ascii="Times New Roman" w:hAnsi="Times New Roman" w:eastAsia="MS PMincho"/>
                                <w:szCs w:val="20"/>
                                <w:lang w:eastAsia="ja-JP"/>
                              </w:rPr>
                              <w:t>, for rank 1 PDSCH at least with DMRS type-1, support a configuration of DMRS where the UE is able to assume that FD-OCC is not applied</w:t>
                            </w:r>
                            <w:r>
                              <w:rPr>
                                <w:rFonts w:ascii="Times New Roman" w:hAnsi="Times New Roman"/>
                                <w:szCs w:val="20"/>
                              </w:rPr>
                              <w:t>.</w:t>
                            </w:r>
                          </w:p>
                          <w:p>
                            <w:pPr>
                              <w:pStyle w:val="129"/>
                              <w:numPr>
                                <w:ilvl w:val="1"/>
                                <w:numId w:val="22"/>
                              </w:numPr>
                              <w:spacing w:line="259" w:lineRule="auto"/>
                              <w:ind w:leftChars="0"/>
                              <w:rPr>
                                <w:rFonts w:ascii="Times New Roman" w:hAnsi="Times New Roman"/>
                                <w:szCs w:val="20"/>
                              </w:rPr>
                            </w:pPr>
                            <w:r>
                              <w:rPr>
                                <w:rFonts w:ascii="Times New Roman" w:hAnsi="Times New Roman"/>
                                <w:szCs w:val="20"/>
                              </w:rPr>
                              <w:t xml:space="preserve">Note: </w:t>
                            </w:r>
                            <w:r>
                              <w:rPr>
                                <w:rFonts w:ascii="Times New Roman" w:hAnsi="Times New Roman"/>
                                <w:szCs w:val="20"/>
                                <w:lang w:eastAsia="zh-CN"/>
                              </w:rPr>
                              <w:t>“FD-OCC is not applied” refers to the UE may assume that a set of remaining orthogonal antenna ports are not associated with the PDSCH to another UE, wherein the set of remaining orthogonal antenna ports are within the same CDM group and have different FD-OCC</w:t>
                            </w:r>
                            <w:r>
                              <w:rPr>
                                <w:rFonts w:ascii="Times New Roman" w:hAnsi="Times New Roman"/>
                                <w:szCs w:val="20"/>
                              </w:rPr>
                              <w:t xml:space="preserve"> </w:t>
                            </w:r>
                          </w:p>
                          <w:p>
                            <w:pPr>
                              <w:pStyle w:val="129"/>
                              <w:numPr>
                                <w:ilvl w:val="1"/>
                                <w:numId w:val="22"/>
                              </w:numPr>
                              <w:spacing w:line="259" w:lineRule="auto"/>
                              <w:ind w:leftChars="0"/>
                              <w:rPr>
                                <w:rFonts w:ascii="Times New Roman" w:hAnsi="Times New Roman"/>
                                <w:szCs w:val="20"/>
                              </w:rPr>
                            </w:pPr>
                            <w:r>
                              <w:rPr>
                                <w:rFonts w:ascii="Times New Roman" w:hAnsi="Times New Roman"/>
                                <w:szCs w:val="20"/>
                              </w:rPr>
                              <w:t>FFS whether applies to DMRS type-2</w:t>
                            </w:r>
                          </w:p>
                          <w:p>
                            <w:pPr>
                              <w:pStyle w:val="129"/>
                              <w:numPr>
                                <w:ilvl w:val="1"/>
                                <w:numId w:val="22"/>
                              </w:numPr>
                              <w:spacing w:line="259" w:lineRule="auto"/>
                              <w:ind w:leftChars="0"/>
                              <w:rPr>
                                <w:rFonts w:ascii="Times New Roman" w:hAnsi="Times New Roman"/>
                                <w:szCs w:val="20"/>
                              </w:rPr>
                            </w:pPr>
                            <w:r>
                              <w:rPr>
                                <w:rFonts w:ascii="Times New Roman" w:hAnsi="Times New Roman" w:eastAsia="MS PMincho"/>
                                <w:szCs w:val="20"/>
                                <w:lang w:eastAsia="ja-JP"/>
                              </w:rPr>
                              <w:t>Down select between the following options for the indication to UE</w:t>
                            </w:r>
                          </w:p>
                          <w:p>
                            <w:pPr>
                              <w:pStyle w:val="129"/>
                              <w:numPr>
                                <w:ilvl w:val="2"/>
                                <w:numId w:val="22"/>
                              </w:numPr>
                              <w:spacing w:line="259" w:lineRule="auto"/>
                              <w:ind w:leftChars="0"/>
                              <w:rPr>
                                <w:rFonts w:ascii="Times New Roman" w:hAnsi="Times New Roman"/>
                                <w:szCs w:val="20"/>
                              </w:rPr>
                            </w:pPr>
                            <w:r>
                              <w:rPr>
                                <w:rFonts w:ascii="Times New Roman" w:hAnsi="Times New Roman" w:eastAsia="MS PMincho"/>
                                <w:szCs w:val="20"/>
                                <w:lang w:eastAsia="ja-JP"/>
                              </w:rPr>
                              <w:t xml:space="preserve">RRC configuration </w:t>
                            </w:r>
                          </w:p>
                          <w:p>
                            <w:pPr>
                              <w:pStyle w:val="129"/>
                              <w:numPr>
                                <w:ilvl w:val="2"/>
                                <w:numId w:val="22"/>
                              </w:numPr>
                              <w:spacing w:line="259" w:lineRule="auto"/>
                              <w:ind w:leftChars="0"/>
                              <w:rPr>
                                <w:rFonts w:ascii="Times New Roman" w:hAnsi="Times New Roman"/>
                                <w:szCs w:val="20"/>
                              </w:rPr>
                            </w:pPr>
                            <w:r>
                              <w:rPr>
                                <w:rFonts w:ascii="Times New Roman" w:hAnsi="Times New Roman" w:eastAsia="MS PMincho"/>
                                <w:szCs w:val="20"/>
                                <w:lang w:eastAsia="ja-JP"/>
                              </w:rPr>
                              <w:t xml:space="preserve">antenna port(s) field in DCI scheduling the rank 1 PDSCH </w:t>
                            </w:r>
                          </w:p>
                          <w:p>
                            <w:pPr>
                              <w:rPr>
                                <w:iCs/>
                                <w:u w:val="single"/>
                              </w:rPr>
                            </w:pPr>
                            <w:r>
                              <w:rPr>
                                <w:iCs/>
                                <w:u w:val="single"/>
                              </w:rPr>
                              <w:t>Conclusion:</w:t>
                            </w:r>
                          </w:p>
                          <w:p>
                            <w:pPr>
                              <w:pStyle w:val="129"/>
                              <w:spacing w:line="252" w:lineRule="auto"/>
                              <w:ind w:left="0" w:leftChars="0"/>
                              <w:rPr>
                                <w:rFonts w:ascii="Times New Roman" w:hAnsi="Times New Roman"/>
                                <w:szCs w:val="20"/>
                              </w:rPr>
                            </w:pPr>
                            <w:r>
                              <w:rPr>
                                <w:rFonts w:ascii="Times New Roman" w:hAnsi="Times New Roman"/>
                                <w:szCs w:val="20"/>
                                <w:lang w:eastAsia="ja-JP"/>
                              </w:rPr>
                              <w:t xml:space="preserve">In Rel-17, </w:t>
                            </w:r>
                            <w:r>
                              <w:rPr>
                                <w:rFonts w:ascii="Times New Roman" w:hAnsi="Times New Roman"/>
                                <w:szCs w:val="20"/>
                              </w:rPr>
                              <w:t xml:space="preserve">for NR operation with 480 kHz and/or 960 kHz SCS, </w:t>
                            </w:r>
                            <w:r>
                              <w:rPr>
                                <w:rFonts w:ascii="Times New Roman" w:hAnsi="Times New Roman"/>
                                <w:szCs w:val="20"/>
                                <w:lang w:eastAsia="ja-JP"/>
                              </w:rPr>
                              <w:t>new DMRS pattern with increased frequency domain density is not supported</w:t>
                            </w:r>
                            <w:r>
                              <w:rPr>
                                <w:rFonts w:ascii="Times New Roman" w:hAnsi="Times New Roman"/>
                                <w:szCs w:val="20"/>
                              </w:rPr>
                              <w:t>.</w:t>
                            </w:r>
                          </w:p>
                          <w:p>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w:pict>
              <v:shape id="Text Box 2" o:spid="_x0000_s1026" o:spt="202" type="#_x0000_t202" style="height:243.6pt;width:479.4pt;" fillcolor="#FFFFFF" filled="t" stroked="t" coordsize="21600,21600" o:gfxdata="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7eAdndYAAAAFAQAADwAAAAAAAAABACAA&#10;AAAiAAAAZHJzL2Rvd25yZXYueG1sUEsBAhQAFAAAAAgAh07iQCjMKlkPAgAALQQAAA4AAAAAAAAA&#10;AQAgAAAAJQEAAGRycy9lMm9Eb2MueG1sUEsFBgAAAAAGAAYAWQEAAKYFAAAAAA==&#10;">
                <v:fill on="t" focussize="0,0"/>
                <v:stroke color="#000000" miterlimit="8" joinstyle="miter"/>
                <v:imagedata o:title=""/>
                <o:lock v:ext="edit" aspectratio="f"/>
                <v:textbox>
                  <w:txbxContent>
                    <w:p>
                      <w:pPr>
                        <w:rPr>
                          <w:iCs/>
                        </w:rPr>
                      </w:pPr>
                      <w:r>
                        <w:rPr>
                          <w:iCs/>
                          <w:highlight w:val="green"/>
                        </w:rPr>
                        <w:t>Agreement:</w:t>
                      </w:r>
                    </w:p>
                    <w:p>
                      <w:pPr>
                        <w:pStyle w:val="129"/>
                        <w:numPr>
                          <w:ilvl w:val="0"/>
                          <w:numId w:val="22"/>
                        </w:numPr>
                        <w:spacing w:line="259" w:lineRule="auto"/>
                        <w:ind w:leftChars="0"/>
                        <w:rPr>
                          <w:rFonts w:ascii="Times New Roman" w:hAnsi="Times New Roman"/>
                          <w:szCs w:val="20"/>
                        </w:rPr>
                      </w:pPr>
                      <w:r>
                        <w:rPr>
                          <w:rFonts w:ascii="Times New Roman" w:hAnsi="Times New Roman"/>
                          <w:szCs w:val="20"/>
                        </w:rPr>
                        <w:t>For 480 kHz and/or 960 kHz SCS</w:t>
                      </w:r>
                      <w:r>
                        <w:rPr>
                          <w:rFonts w:ascii="Times New Roman" w:hAnsi="Times New Roman" w:eastAsia="MS PMincho"/>
                          <w:szCs w:val="20"/>
                          <w:lang w:eastAsia="ja-JP"/>
                        </w:rPr>
                        <w:t>, for rank 1 PDSCH at least with DMRS type-1, support a configuration of DMRS where the UE is able to assume that FD-OCC is not applied</w:t>
                      </w:r>
                      <w:r>
                        <w:rPr>
                          <w:rFonts w:ascii="Times New Roman" w:hAnsi="Times New Roman"/>
                          <w:szCs w:val="20"/>
                        </w:rPr>
                        <w:t>.</w:t>
                      </w:r>
                    </w:p>
                    <w:p>
                      <w:pPr>
                        <w:pStyle w:val="129"/>
                        <w:numPr>
                          <w:ilvl w:val="1"/>
                          <w:numId w:val="22"/>
                        </w:numPr>
                        <w:spacing w:line="259" w:lineRule="auto"/>
                        <w:ind w:leftChars="0"/>
                        <w:rPr>
                          <w:rFonts w:ascii="Times New Roman" w:hAnsi="Times New Roman"/>
                          <w:szCs w:val="20"/>
                        </w:rPr>
                      </w:pPr>
                      <w:r>
                        <w:rPr>
                          <w:rFonts w:ascii="Times New Roman" w:hAnsi="Times New Roman"/>
                          <w:szCs w:val="20"/>
                        </w:rPr>
                        <w:t xml:space="preserve">Note: </w:t>
                      </w:r>
                      <w:r>
                        <w:rPr>
                          <w:rFonts w:ascii="Times New Roman" w:hAnsi="Times New Roman"/>
                          <w:szCs w:val="20"/>
                          <w:lang w:eastAsia="zh-CN"/>
                        </w:rPr>
                        <w:t>“FD-OCC is not applied” refers to the UE may assume that a set of remaining orthogonal antenna ports are not associated with the PDSCH to another UE, wherein the set of remaining orthogonal antenna ports are within the same CDM group and have different FD-OCC</w:t>
                      </w:r>
                      <w:r>
                        <w:rPr>
                          <w:rFonts w:ascii="Times New Roman" w:hAnsi="Times New Roman"/>
                          <w:szCs w:val="20"/>
                        </w:rPr>
                        <w:t xml:space="preserve"> </w:t>
                      </w:r>
                    </w:p>
                    <w:p>
                      <w:pPr>
                        <w:pStyle w:val="129"/>
                        <w:numPr>
                          <w:ilvl w:val="1"/>
                          <w:numId w:val="22"/>
                        </w:numPr>
                        <w:spacing w:line="259" w:lineRule="auto"/>
                        <w:ind w:leftChars="0"/>
                        <w:rPr>
                          <w:rFonts w:ascii="Times New Roman" w:hAnsi="Times New Roman"/>
                          <w:szCs w:val="20"/>
                        </w:rPr>
                      </w:pPr>
                      <w:r>
                        <w:rPr>
                          <w:rFonts w:ascii="Times New Roman" w:hAnsi="Times New Roman"/>
                          <w:szCs w:val="20"/>
                        </w:rPr>
                        <w:t>FFS whether applies to DMRS type-2</w:t>
                      </w:r>
                    </w:p>
                    <w:p>
                      <w:pPr>
                        <w:pStyle w:val="129"/>
                        <w:numPr>
                          <w:ilvl w:val="1"/>
                          <w:numId w:val="22"/>
                        </w:numPr>
                        <w:spacing w:line="259" w:lineRule="auto"/>
                        <w:ind w:leftChars="0"/>
                        <w:rPr>
                          <w:rFonts w:ascii="Times New Roman" w:hAnsi="Times New Roman"/>
                          <w:szCs w:val="20"/>
                        </w:rPr>
                      </w:pPr>
                      <w:r>
                        <w:rPr>
                          <w:rFonts w:ascii="Times New Roman" w:hAnsi="Times New Roman" w:eastAsia="MS PMincho"/>
                          <w:szCs w:val="20"/>
                          <w:lang w:eastAsia="ja-JP"/>
                        </w:rPr>
                        <w:t>Down select between the following options for the indication to UE</w:t>
                      </w:r>
                    </w:p>
                    <w:p>
                      <w:pPr>
                        <w:pStyle w:val="129"/>
                        <w:numPr>
                          <w:ilvl w:val="2"/>
                          <w:numId w:val="22"/>
                        </w:numPr>
                        <w:spacing w:line="259" w:lineRule="auto"/>
                        <w:ind w:leftChars="0"/>
                        <w:rPr>
                          <w:rFonts w:ascii="Times New Roman" w:hAnsi="Times New Roman"/>
                          <w:szCs w:val="20"/>
                        </w:rPr>
                      </w:pPr>
                      <w:r>
                        <w:rPr>
                          <w:rFonts w:ascii="Times New Roman" w:hAnsi="Times New Roman" w:eastAsia="MS PMincho"/>
                          <w:szCs w:val="20"/>
                          <w:lang w:eastAsia="ja-JP"/>
                        </w:rPr>
                        <w:t xml:space="preserve">RRC configuration </w:t>
                      </w:r>
                    </w:p>
                    <w:p>
                      <w:pPr>
                        <w:pStyle w:val="129"/>
                        <w:numPr>
                          <w:ilvl w:val="2"/>
                          <w:numId w:val="22"/>
                        </w:numPr>
                        <w:spacing w:line="259" w:lineRule="auto"/>
                        <w:ind w:leftChars="0"/>
                        <w:rPr>
                          <w:rFonts w:ascii="Times New Roman" w:hAnsi="Times New Roman"/>
                          <w:szCs w:val="20"/>
                        </w:rPr>
                      </w:pPr>
                      <w:r>
                        <w:rPr>
                          <w:rFonts w:ascii="Times New Roman" w:hAnsi="Times New Roman" w:eastAsia="MS PMincho"/>
                          <w:szCs w:val="20"/>
                          <w:lang w:eastAsia="ja-JP"/>
                        </w:rPr>
                        <w:t xml:space="preserve">antenna port(s) field in DCI scheduling the rank 1 PDSCH </w:t>
                      </w:r>
                    </w:p>
                    <w:p>
                      <w:pPr>
                        <w:rPr>
                          <w:iCs/>
                          <w:u w:val="single"/>
                        </w:rPr>
                      </w:pPr>
                      <w:r>
                        <w:rPr>
                          <w:iCs/>
                          <w:u w:val="single"/>
                        </w:rPr>
                        <w:t>Conclusion:</w:t>
                      </w:r>
                    </w:p>
                    <w:p>
                      <w:pPr>
                        <w:pStyle w:val="129"/>
                        <w:spacing w:line="252" w:lineRule="auto"/>
                        <w:ind w:left="0" w:leftChars="0"/>
                        <w:rPr>
                          <w:rFonts w:ascii="Times New Roman" w:hAnsi="Times New Roman"/>
                          <w:szCs w:val="20"/>
                        </w:rPr>
                      </w:pPr>
                      <w:r>
                        <w:rPr>
                          <w:rFonts w:ascii="Times New Roman" w:hAnsi="Times New Roman"/>
                          <w:szCs w:val="20"/>
                          <w:lang w:eastAsia="ja-JP"/>
                        </w:rPr>
                        <w:t xml:space="preserve">In Rel-17, </w:t>
                      </w:r>
                      <w:r>
                        <w:rPr>
                          <w:rFonts w:ascii="Times New Roman" w:hAnsi="Times New Roman"/>
                          <w:szCs w:val="20"/>
                        </w:rPr>
                        <w:t xml:space="preserve">for NR operation with 480 kHz and/or 960 kHz SCS, </w:t>
                      </w:r>
                      <w:r>
                        <w:rPr>
                          <w:rFonts w:ascii="Times New Roman" w:hAnsi="Times New Roman"/>
                          <w:szCs w:val="20"/>
                          <w:lang w:eastAsia="ja-JP"/>
                        </w:rPr>
                        <w:t>new DMRS pattern with increased frequency domain density is not supported</w:t>
                      </w:r>
                      <w:r>
                        <w:rPr>
                          <w:rFonts w:ascii="Times New Roman" w:hAnsi="Times New Roman"/>
                          <w:szCs w:val="20"/>
                        </w:rPr>
                        <w:t>.</w:t>
                      </w:r>
                    </w:p>
                    <w:p>
                      <w:pPr>
                        <w:numPr>
                          <w:ilvl w:val="255"/>
                          <w:numId w:val="0"/>
                        </w:numPr>
                        <w:spacing w:after="0" w:line="240" w:lineRule="auto"/>
                        <w:rPr>
                          <w:b/>
                          <w:bCs/>
                          <w:lang w:eastAsia="zh-CN"/>
                        </w:rPr>
                      </w:pPr>
                    </w:p>
                  </w:txbxContent>
                </v:textbox>
                <w10:wrap type="none"/>
                <w10:anchorlock/>
              </v:shape>
            </w:pict>
          </mc:Fallback>
        </mc:AlternateContent>
      </w:r>
    </w:p>
    <w:p>
      <w:pPr>
        <w:jc w:val="both"/>
        <w:rPr>
          <w:lang w:val="en-US" w:eastAsia="zh-CN"/>
        </w:rPr>
      </w:pPr>
      <w:r>
        <w:rPr>
          <w:rFonts w:hint="eastAsia"/>
          <w:lang w:val="en-US" w:eastAsia="zh-CN"/>
        </w:rPr>
        <w:t>If RRC configuration is used to indicate whether FD-OCC is applied, the flexibility cannot be guaranteed. Turning off the FD-OCC can only provide benefit in some specific scenarios such as higher SCS and high modulation order.  It</w:t>
      </w:r>
      <w:r>
        <w:rPr>
          <w:lang w:val="en-US" w:eastAsia="zh-CN"/>
        </w:rPr>
        <w:t>’</w:t>
      </w:r>
      <w:r>
        <w:rPr>
          <w:rFonts w:hint="eastAsia"/>
          <w:lang w:val="en-US" w:eastAsia="zh-CN"/>
        </w:rPr>
        <w:t xml:space="preserve">s not practical to mandate the UE to always turn off FD-OCC in when RRC is in connected mode. </w:t>
      </w:r>
    </w:p>
    <w:p>
      <w:pPr>
        <w:jc w:val="both"/>
        <w:rPr>
          <w:lang w:val="en-US" w:eastAsia="zh-CN"/>
        </w:rPr>
      </w:pPr>
      <w:r>
        <w:rPr>
          <w:rFonts w:hint="eastAsia"/>
          <w:lang w:val="en-US" w:eastAsia="zh-CN"/>
        </w:rPr>
        <w:t>It</w:t>
      </w:r>
      <w:r>
        <w:rPr>
          <w:lang w:val="en-US" w:eastAsia="zh-CN"/>
        </w:rPr>
        <w:t>’</w:t>
      </w:r>
      <w:r>
        <w:rPr>
          <w:rFonts w:hint="eastAsia"/>
          <w:lang w:val="en-US" w:eastAsia="zh-CN"/>
        </w:rPr>
        <w:t xml:space="preserve">s known that in current spec, the antenna port(s) can be indicated in </w:t>
      </w:r>
      <w:r>
        <w:rPr>
          <w:lang w:eastAsia="zh-CN"/>
        </w:rPr>
        <w:t>Tables 7.3.1.2.2-1/1A</w:t>
      </w:r>
      <w:r>
        <w:rPr>
          <w:rFonts w:hint="eastAsia"/>
          <w:lang w:val="en-US" w:eastAsia="zh-CN"/>
        </w:rPr>
        <w:t xml:space="preserve">, there are still several reserved bits that can be utilized to indicate the UE that the same CDM group will not be scheduled by other UEs. This method can provide flexibility and the spec impact is acceptable. </w:t>
      </w:r>
    </w:p>
    <w:p>
      <w:pPr>
        <w:jc w:val="center"/>
        <w:rPr>
          <w:rFonts w:hint="default"/>
          <w:lang w:val="en-US" w:eastAsia="zh-CN"/>
        </w:rPr>
      </w:pPr>
      <w:r>
        <w:rPr>
          <w:lang w:eastAsia="zh-CN"/>
        </w:rPr>
        <w:t>Table 7.3.1.2.2-1</w:t>
      </w:r>
      <w:r>
        <w:rPr>
          <w:rFonts w:hint="eastAsia"/>
          <w:lang w:val="en-US" w:eastAsia="zh-CN"/>
        </w:rPr>
        <w:t xml:space="preserve"> in [4]</w:t>
      </w:r>
    </w:p>
    <w:tbl>
      <w:tblPr>
        <w:tblStyle w:val="25"/>
        <w:tblW w:w="5912" w:type="dxa"/>
        <w:jc w:val="center"/>
        <w:tblLayout w:type="fixed"/>
        <w:tblCellMar>
          <w:top w:w="0" w:type="dxa"/>
          <w:left w:w="0" w:type="dxa"/>
          <w:bottom w:w="0" w:type="dxa"/>
          <w:right w:w="0" w:type="dxa"/>
        </w:tblCellMar>
      </w:tblPr>
      <w:tblGrid>
        <w:gridCol w:w="1428"/>
        <w:gridCol w:w="3269"/>
        <w:gridCol w:w="1215"/>
      </w:tblGrid>
      <w:tr>
        <w:tblPrEx>
          <w:tblCellMar>
            <w:top w:w="0" w:type="dxa"/>
            <w:left w:w="0" w:type="dxa"/>
            <w:bottom w:w="0" w:type="dxa"/>
            <w:right w:w="0" w:type="dxa"/>
          </w:tblCellMar>
        </w:tblPrEx>
        <w:trPr>
          <w:jc w:val="center"/>
        </w:trPr>
        <w:tc>
          <w:tcPr>
            <w:tcW w:w="5912" w:type="dxa"/>
            <w:gridSpan w:val="3"/>
            <w:tcBorders>
              <w:top w:val="single" w:color="auto" w:sz="8" w:space="0"/>
              <w:left w:val="single" w:color="auto" w:sz="8" w:space="0"/>
              <w:bottom w:val="single" w:color="auto" w:sz="8" w:space="0"/>
              <w:right w:val="single" w:color="auto" w:sz="8" w:space="0"/>
            </w:tcBorders>
            <w:shd w:val="clear" w:color="auto" w:fill="D9D9D9"/>
            <w:tcMar>
              <w:top w:w="0" w:type="dxa"/>
              <w:left w:w="108" w:type="dxa"/>
              <w:bottom w:w="0" w:type="dxa"/>
              <w:right w:w="108" w:type="dxa"/>
            </w:tcMar>
            <w:vAlign w:val="center"/>
          </w:tcPr>
          <w:p>
            <w:pPr>
              <w:spacing w:before="100" w:beforeAutospacing="1" w:after="100" w:afterAutospacing="1"/>
              <w:jc w:val="center"/>
            </w:pPr>
            <w:r>
              <w:rPr>
                <w:rStyle w:val="29"/>
                <w:rFonts w:ascii="Arial" w:hAnsi="Arial" w:cs="Arial"/>
                <w:sz w:val="16"/>
                <w:szCs w:val="16"/>
              </w:rPr>
              <w:t>One Codeword:</w:t>
            </w:r>
          </w:p>
          <w:p>
            <w:pPr>
              <w:spacing w:before="100" w:beforeAutospacing="1" w:after="100" w:afterAutospacing="1"/>
              <w:jc w:val="center"/>
            </w:pPr>
            <w:r>
              <w:rPr>
                <w:rStyle w:val="29"/>
                <w:rFonts w:ascii="Arial" w:hAnsi="Arial" w:cs="Arial"/>
                <w:color w:val="000000"/>
                <w:sz w:val="16"/>
                <w:szCs w:val="16"/>
              </w:rPr>
              <w:t>Codeword 0 enabled,</w:t>
            </w:r>
          </w:p>
          <w:p>
            <w:pPr>
              <w:spacing w:before="100" w:beforeAutospacing="1" w:after="100" w:afterAutospacing="1"/>
              <w:jc w:val="center"/>
            </w:pPr>
            <w:r>
              <w:rPr>
                <w:rStyle w:val="29"/>
                <w:rFonts w:ascii="Arial" w:hAnsi="Arial" w:cs="Arial"/>
                <w:color w:val="000000"/>
                <w:sz w:val="16"/>
                <w:szCs w:val="16"/>
              </w:rPr>
              <w:t>Codeword 1 disabled</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shd w:val="clear" w:color="auto" w:fill="D9D9D9"/>
            <w:tcMar>
              <w:top w:w="0" w:type="dxa"/>
              <w:left w:w="108" w:type="dxa"/>
              <w:bottom w:w="0" w:type="dxa"/>
              <w:right w:w="108" w:type="dxa"/>
            </w:tcMar>
            <w:vAlign w:val="center"/>
          </w:tcPr>
          <w:p>
            <w:pPr>
              <w:spacing w:before="100" w:beforeAutospacing="1" w:after="100" w:afterAutospacing="1"/>
              <w:jc w:val="center"/>
            </w:pPr>
            <w:r>
              <w:rPr>
                <w:rStyle w:val="29"/>
                <w:rFonts w:ascii="Arial" w:hAnsi="Arial" w:cs="Arial"/>
                <w:color w:val="000000"/>
                <w:sz w:val="16"/>
                <w:szCs w:val="16"/>
              </w:rPr>
              <w:t>Value</w:t>
            </w:r>
          </w:p>
        </w:tc>
        <w:tc>
          <w:tcPr>
            <w:tcW w:w="3269" w:type="dxa"/>
            <w:tcBorders>
              <w:top w:val="nil"/>
              <w:left w:val="nil"/>
              <w:bottom w:val="single" w:color="auto" w:sz="8" w:space="0"/>
              <w:right w:val="single" w:color="auto" w:sz="8" w:space="0"/>
            </w:tcBorders>
            <w:shd w:val="clear" w:color="auto" w:fill="D9D9D9"/>
            <w:tcMar>
              <w:top w:w="0" w:type="dxa"/>
              <w:left w:w="108" w:type="dxa"/>
              <w:bottom w:w="0" w:type="dxa"/>
              <w:right w:w="108" w:type="dxa"/>
            </w:tcMar>
            <w:vAlign w:val="center"/>
          </w:tcPr>
          <w:p>
            <w:pPr>
              <w:spacing w:before="100" w:beforeAutospacing="1" w:after="100" w:afterAutospacing="1"/>
              <w:jc w:val="center"/>
            </w:pPr>
            <w:r>
              <w:rPr>
                <w:rStyle w:val="29"/>
                <w:rFonts w:ascii="Arial" w:hAnsi="Arial" w:cs="Arial"/>
                <w:color w:val="000000"/>
                <w:sz w:val="16"/>
                <w:szCs w:val="16"/>
              </w:rPr>
              <w:t>Number of</w:t>
            </w:r>
            <w:r>
              <w:rPr>
                <w:rStyle w:val="83"/>
                <w:rFonts w:ascii="Arial" w:hAnsi="Arial" w:cs="Arial"/>
                <w:b/>
                <w:bCs/>
                <w:color w:val="000000"/>
                <w:sz w:val="16"/>
                <w:szCs w:val="16"/>
              </w:rPr>
              <w:t> </w:t>
            </w:r>
            <w:r>
              <w:rPr>
                <w:rStyle w:val="29"/>
                <w:rFonts w:ascii="Arial" w:hAnsi="Arial" w:cs="Arial"/>
                <w:color w:val="000000"/>
                <w:sz w:val="16"/>
                <w:szCs w:val="16"/>
              </w:rPr>
              <w:t>DMRS</w:t>
            </w:r>
            <w:r>
              <w:rPr>
                <w:rStyle w:val="83"/>
                <w:rFonts w:ascii="Arial" w:hAnsi="Arial" w:cs="Arial"/>
                <w:b/>
                <w:bCs/>
                <w:color w:val="000000"/>
                <w:sz w:val="16"/>
                <w:szCs w:val="16"/>
              </w:rPr>
              <w:t> </w:t>
            </w:r>
            <w:r>
              <w:rPr>
                <w:rStyle w:val="29"/>
                <w:rFonts w:ascii="Arial" w:hAnsi="Arial" w:cs="Arial"/>
                <w:color w:val="000000"/>
                <w:sz w:val="16"/>
                <w:szCs w:val="16"/>
              </w:rPr>
              <w:t>CDM group(s)without data</w:t>
            </w:r>
          </w:p>
        </w:tc>
        <w:tc>
          <w:tcPr>
            <w:tcW w:w="1215" w:type="dxa"/>
            <w:tcBorders>
              <w:top w:val="nil"/>
              <w:left w:val="nil"/>
              <w:bottom w:val="single" w:color="auto" w:sz="8" w:space="0"/>
              <w:right w:val="single" w:color="auto" w:sz="8" w:space="0"/>
            </w:tcBorders>
            <w:shd w:val="clear" w:color="auto" w:fill="D9D9D9"/>
            <w:tcMar>
              <w:top w:w="0" w:type="dxa"/>
              <w:left w:w="108" w:type="dxa"/>
              <w:bottom w:w="0" w:type="dxa"/>
              <w:right w:w="108" w:type="dxa"/>
            </w:tcMar>
            <w:vAlign w:val="center"/>
          </w:tcPr>
          <w:p>
            <w:pPr>
              <w:spacing w:before="100" w:beforeAutospacing="1" w:after="100" w:afterAutospacing="1"/>
              <w:jc w:val="center"/>
            </w:pPr>
            <w:r>
              <w:rPr>
                <w:rStyle w:val="29"/>
                <w:rFonts w:ascii="Arial" w:hAnsi="Arial" w:cs="Arial"/>
                <w:color w:val="000000"/>
                <w:sz w:val="16"/>
                <w:szCs w:val="16"/>
              </w:rPr>
              <w:t>DMRS port(s)</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0</w:t>
            </w:r>
          </w:p>
        </w:tc>
        <w:tc>
          <w:tcPr>
            <w:tcW w:w="3269"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1</w:t>
            </w:r>
          </w:p>
        </w:tc>
        <w:tc>
          <w:tcPr>
            <w:tcW w:w="1215"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0</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1</w:t>
            </w:r>
          </w:p>
        </w:tc>
        <w:tc>
          <w:tcPr>
            <w:tcW w:w="3269"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1</w:t>
            </w:r>
          </w:p>
        </w:tc>
        <w:tc>
          <w:tcPr>
            <w:tcW w:w="1215"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1</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2</w:t>
            </w:r>
          </w:p>
        </w:tc>
        <w:tc>
          <w:tcPr>
            <w:tcW w:w="3269"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1</w:t>
            </w:r>
          </w:p>
        </w:tc>
        <w:tc>
          <w:tcPr>
            <w:tcW w:w="1215"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0,1</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rPr>
                <w:rFonts w:ascii="Arial" w:hAnsi="Arial" w:cs="Arial"/>
                <w:sz w:val="16"/>
                <w:szCs w:val="16"/>
              </w:rPr>
            </w:pPr>
            <w:r>
              <w:rPr>
                <w:rFonts w:ascii="Arial" w:hAnsi="Arial" w:cs="Arial"/>
                <w:sz w:val="16"/>
                <w:szCs w:val="16"/>
              </w:rPr>
              <w:t>3</w:t>
            </w:r>
          </w:p>
        </w:tc>
        <w:tc>
          <w:tcPr>
            <w:tcW w:w="3269"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rPr>
                <w:rFonts w:ascii="Arial" w:hAnsi="Arial" w:cs="Arial"/>
                <w:sz w:val="16"/>
                <w:szCs w:val="16"/>
              </w:rPr>
            </w:pPr>
            <w:r>
              <w:rPr>
                <w:rFonts w:ascii="Arial" w:hAnsi="Arial" w:cs="Arial"/>
                <w:sz w:val="16"/>
                <w:szCs w:val="16"/>
              </w:rPr>
              <w:t>2</w:t>
            </w:r>
          </w:p>
        </w:tc>
        <w:tc>
          <w:tcPr>
            <w:tcW w:w="1215"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rPr>
                <w:rFonts w:ascii="Arial" w:hAnsi="Arial" w:cs="Arial"/>
                <w:sz w:val="16"/>
                <w:szCs w:val="16"/>
              </w:rPr>
            </w:pPr>
            <w:r>
              <w:rPr>
                <w:rFonts w:ascii="Arial" w:hAnsi="Arial" w:cs="Arial"/>
                <w:sz w:val="16"/>
                <w:szCs w:val="16"/>
              </w:rPr>
              <w:t>0</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rPr>
                <w:rFonts w:ascii="Arial" w:hAnsi="Arial" w:cs="Arial"/>
                <w:sz w:val="16"/>
                <w:szCs w:val="16"/>
              </w:rPr>
            </w:pPr>
            <w:r>
              <w:rPr>
                <w:rFonts w:ascii="Arial" w:hAnsi="Arial" w:cs="Arial"/>
                <w:sz w:val="16"/>
                <w:szCs w:val="16"/>
              </w:rPr>
              <w:t>4</w:t>
            </w:r>
          </w:p>
        </w:tc>
        <w:tc>
          <w:tcPr>
            <w:tcW w:w="3269"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rPr>
                <w:rFonts w:ascii="Arial" w:hAnsi="Arial" w:cs="Arial"/>
                <w:sz w:val="16"/>
                <w:szCs w:val="16"/>
              </w:rPr>
            </w:pPr>
            <w:r>
              <w:rPr>
                <w:rFonts w:ascii="Arial" w:hAnsi="Arial" w:cs="Arial"/>
                <w:sz w:val="16"/>
                <w:szCs w:val="16"/>
              </w:rPr>
              <w:t>2</w:t>
            </w:r>
          </w:p>
        </w:tc>
        <w:tc>
          <w:tcPr>
            <w:tcW w:w="1215"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rPr>
                <w:rFonts w:ascii="Arial" w:hAnsi="Arial" w:cs="Arial"/>
                <w:sz w:val="16"/>
                <w:szCs w:val="16"/>
              </w:rPr>
            </w:pPr>
            <w:r>
              <w:rPr>
                <w:rFonts w:ascii="Arial" w:hAnsi="Arial" w:cs="Arial"/>
                <w:sz w:val="16"/>
                <w:szCs w:val="16"/>
              </w:rPr>
              <w:t>1</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rPr>
                <w:rFonts w:ascii="Arial" w:hAnsi="Arial" w:cs="Arial"/>
                <w:sz w:val="16"/>
                <w:szCs w:val="16"/>
              </w:rPr>
            </w:pPr>
            <w:r>
              <w:rPr>
                <w:rFonts w:ascii="Arial" w:hAnsi="Arial" w:cs="Arial"/>
                <w:sz w:val="16"/>
                <w:szCs w:val="16"/>
              </w:rPr>
              <w:t>5</w:t>
            </w:r>
          </w:p>
        </w:tc>
        <w:tc>
          <w:tcPr>
            <w:tcW w:w="3269"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rPr>
                <w:rFonts w:ascii="Arial" w:hAnsi="Arial" w:cs="Arial"/>
                <w:sz w:val="16"/>
                <w:szCs w:val="16"/>
              </w:rPr>
            </w:pPr>
            <w:r>
              <w:rPr>
                <w:rFonts w:ascii="Arial" w:hAnsi="Arial" w:cs="Arial"/>
                <w:sz w:val="16"/>
                <w:szCs w:val="16"/>
              </w:rPr>
              <w:t>2</w:t>
            </w:r>
          </w:p>
        </w:tc>
        <w:tc>
          <w:tcPr>
            <w:tcW w:w="1215"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rPr>
                <w:rFonts w:ascii="Arial" w:hAnsi="Arial" w:cs="Arial"/>
                <w:sz w:val="16"/>
                <w:szCs w:val="16"/>
              </w:rPr>
            </w:pPr>
            <w:r>
              <w:rPr>
                <w:rFonts w:ascii="Arial" w:hAnsi="Arial" w:cs="Arial"/>
                <w:sz w:val="16"/>
                <w:szCs w:val="16"/>
              </w:rPr>
              <w:t>2</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6</w:t>
            </w:r>
          </w:p>
        </w:tc>
        <w:tc>
          <w:tcPr>
            <w:tcW w:w="3269"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2</w:t>
            </w:r>
          </w:p>
        </w:tc>
        <w:tc>
          <w:tcPr>
            <w:tcW w:w="1215"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3</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7</w:t>
            </w:r>
          </w:p>
        </w:tc>
        <w:tc>
          <w:tcPr>
            <w:tcW w:w="3269"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2</w:t>
            </w:r>
          </w:p>
        </w:tc>
        <w:tc>
          <w:tcPr>
            <w:tcW w:w="1215"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0,1</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8</w:t>
            </w:r>
          </w:p>
        </w:tc>
        <w:tc>
          <w:tcPr>
            <w:tcW w:w="3269"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2</w:t>
            </w:r>
          </w:p>
        </w:tc>
        <w:tc>
          <w:tcPr>
            <w:tcW w:w="1215"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2,3</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9</w:t>
            </w:r>
          </w:p>
        </w:tc>
        <w:tc>
          <w:tcPr>
            <w:tcW w:w="3269"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2</w:t>
            </w:r>
          </w:p>
        </w:tc>
        <w:tc>
          <w:tcPr>
            <w:tcW w:w="1215"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0-2</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10</w:t>
            </w:r>
          </w:p>
        </w:tc>
        <w:tc>
          <w:tcPr>
            <w:tcW w:w="3269"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2</w:t>
            </w:r>
          </w:p>
        </w:tc>
        <w:tc>
          <w:tcPr>
            <w:tcW w:w="1215"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0-3</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11</w:t>
            </w:r>
          </w:p>
        </w:tc>
        <w:tc>
          <w:tcPr>
            <w:tcW w:w="3269"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2</w:t>
            </w:r>
          </w:p>
        </w:tc>
        <w:tc>
          <w:tcPr>
            <w:tcW w:w="1215"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0,2</w:t>
            </w:r>
          </w:p>
        </w:tc>
      </w:tr>
      <w:tr>
        <w:tblPrEx>
          <w:tblCellMar>
            <w:top w:w="0" w:type="dxa"/>
            <w:left w:w="0" w:type="dxa"/>
            <w:bottom w:w="0" w:type="dxa"/>
            <w:right w:w="0" w:type="dxa"/>
          </w:tblCellMar>
        </w:tblPrEx>
        <w:trPr>
          <w:jc w:val="center"/>
        </w:trPr>
        <w:tc>
          <w:tcPr>
            <w:tcW w:w="1428"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12-15</w:t>
            </w:r>
          </w:p>
        </w:tc>
        <w:tc>
          <w:tcPr>
            <w:tcW w:w="3269"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Reserved</w:t>
            </w:r>
          </w:p>
        </w:tc>
        <w:tc>
          <w:tcPr>
            <w:tcW w:w="1215" w:type="dxa"/>
            <w:tcBorders>
              <w:top w:val="nil"/>
              <w:left w:val="nil"/>
              <w:bottom w:val="single" w:color="auto" w:sz="8" w:space="0"/>
              <w:right w:val="single" w:color="auto" w:sz="8" w:space="0"/>
            </w:tcBorders>
            <w:tcMar>
              <w:top w:w="0" w:type="dxa"/>
              <w:left w:w="108" w:type="dxa"/>
              <w:bottom w:w="0" w:type="dxa"/>
              <w:right w:w="108" w:type="dxa"/>
            </w:tcMar>
          </w:tcPr>
          <w:p>
            <w:pPr>
              <w:spacing w:before="100" w:beforeAutospacing="1" w:after="100" w:afterAutospacing="1"/>
              <w:jc w:val="center"/>
            </w:pPr>
            <w:r>
              <w:rPr>
                <w:rFonts w:ascii="Arial" w:hAnsi="Arial" w:cs="Arial"/>
                <w:sz w:val="16"/>
                <w:szCs w:val="16"/>
              </w:rPr>
              <w:t>Reserved</w:t>
            </w:r>
          </w:p>
        </w:tc>
      </w:tr>
    </w:tbl>
    <w:p>
      <w:pPr>
        <w:rPr>
          <w:lang w:val="en-US" w:eastAsia="zh-CN"/>
        </w:rPr>
      </w:pPr>
    </w:p>
    <w:p>
      <w:pPr>
        <w:jc w:val="both"/>
        <w:rPr>
          <w:rFonts w:hint="eastAsia" w:eastAsia="宋体"/>
          <w:szCs w:val="20"/>
          <w:lang w:val="en-US" w:eastAsia="zh-CN"/>
        </w:rPr>
      </w:pPr>
      <w:r>
        <w:rPr>
          <w:rFonts w:hint="eastAsia" w:eastAsia="宋体"/>
          <w:szCs w:val="20"/>
          <w:lang w:val="en-US" w:eastAsia="zh-CN"/>
        </w:rPr>
        <w:t>For FR2-2, it exists the problem of delay spread so that it is not suitable for supporting more UEs multiplexing. However, compared to DMRS type-1, DMRS type-2 has lower frequency density and is mainly used for more UEs multiplexing. Even if FD-OCC off  is supported for DMRS type-2, it may not be applicable to FR2-2, that is to say, it</w:t>
      </w:r>
      <w:r>
        <w:rPr>
          <w:rFonts w:hint="default" w:eastAsia="宋体"/>
          <w:szCs w:val="20"/>
          <w:lang w:val="en-US" w:eastAsia="zh-CN"/>
        </w:rPr>
        <w:t>’</w:t>
      </w:r>
      <w:r>
        <w:rPr>
          <w:rFonts w:hint="eastAsia" w:eastAsia="宋体"/>
          <w:szCs w:val="20"/>
          <w:lang w:val="en-US" w:eastAsia="zh-CN"/>
        </w:rPr>
        <w:t xml:space="preserve">s not meaningful to enable FD-OCC off for DMRS type 2. Further, from performance aspect, it is also </w:t>
      </w:r>
      <w:r>
        <w:rPr>
          <w:rFonts w:hint="eastAsia" w:eastAsia="宋体"/>
          <w:lang w:val="en-US" w:eastAsia="zh-CN"/>
        </w:rPr>
        <w:t xml:space="preserve">unnecessary </w:t>
      </w:r>
      <w:r>
        <w:rPr>
          <w:rFonts w:hint="eastAsia" w:eastAsia="宋体"/>
          <w:szCs w:val="20"/>
          <w:lang w:val="en-US" w:eastAsia="zh-CN"/>
        </w:rPr>
        <w:t xml:space="preserve">to enable DMRS type-2 </w:t>
      </w:r>
      <w:r>
        <w:rPr>
          <w:rFonts w:ascii="Times New Roman" w:hAnsi="Times New Roman" w:eastAsia="MS PMincho"/>
          <w:szCs w:val="20"/>
          <w:lang w:eastAsia="ja-JP"/>
        </w:rPr>
        <w:t>FD-OCC</w:t>
      </w:r>
      <w:r>
        <w:rPr>
          <w:rFonts w:hint="eastAsia" w:eastAsia="宋体"/>
          <w:szCs w:val="20"/>
          <w:lang w:val="en-US" w:eastAsia="zh-CN"/>
        </w:rPr>
        <w:t xml:space="preserve"> off. </w:t>
      </w:r>
    </w:p>
    <w:p>
      <w:pPr>
        <w:jc w:val="both"/>
        <w:rPr>
          <w:rFonts w:hint="eastAsia"/>
          <w:b/>
          <w:bCs/>
          <w:lang w:val="en-US" w:eastAsia="zh-CN"/>
        </w:rPr>
      </w:pPr>
      <w:r>
        <w:rPr>
          <w:rFonts w:hint="eastAsia"/>
          <w:b/>
          <w:bCs/>
          <w:lang w:val="en-US" w:eastAsia="zh-CN"/>
        </w:rPr>
        <w:t xml:space="preserve">Proposal 14: Support to use the reserved bit of </w:t>
      </w:r>
      <w:r>
        <w:rPr>
          <w:rFonts w:ascii="Times New Roman" w:hAnsi="Times New Roman" w:eastAsia="MS PMincho"/>
          <w:b/>
          <w:bCs/>
          <w:szCs w:val="20"/>
          <w:lang w:eastAsia="ja-JP"/>
        </w:rPr>
        <w:t>antenna port(s) field in DCI</w:t>
      </w:r>
      <w:r>
        <w:rPr>
          <w:rFonts w:hint="eastAsia" w:eastAsia="宋体"/>
          <w:b/>
          <w:bCs/>
          <w:szCs w:val="20"/>
          <w:lang w:val="en-US" w:eastAsia="zh-CN"/>
        </w:rPr>
        <w:t xml:space="preserve"> </w:t>
      </w:r>
      <w:r>
        <w:rPr>
          <w:rFonts w:hint="eastAsia"/>
          <w:b/>
          <w:bCs/>
          <w:lang w:val="en-US" w:eastAsia="zh-CN"/>
        </w:rPr>
        <w:t>to indicate whether FD-OCC is applied for DMRS Type-1.</w:t>
      </w:r>
    </w:p>
    <w:p>
      <w:pPr>
        <w:rPr>
          <w:rFonts w:hint="eastAsia"/>
          <w:b/>
          <w:bCs/>
          <w:lang w:val="en-US" w:eastAsia="zh-CN"/>
        </w:rPr>
      </w:pPr>
      <w:r>
        <w:rPr>
          <w:rFonts w:hint="eastAsia"/>
          <w:b/>
          <w:bCs/>
          <w:lang w:val="en-US" w:eastAsia="zh-CN"/>
        </w:rPr>
        <w:t>Proposal 15: The DMRS configuration to disable FD-OCC is not applied to DMRS type-2.</w:t>
      </w:r>
    </w:p>
    <w:p>
      <w:pPr>
        <w:pStyle w:val="3"/>
        <w:rPr>
          <w:rFonts w:hint="eastAsia" w:eastAsia="宋体" w:cs="Times New Roman"/>
          <w:b w:val="0"/>
          <w:bCs/>
          <w:lang w:val="en-US" w:eastAsia="zh-CN"/>
        </w:rPr>
      </w:pPr>
      <w:r>
        <w:rPr>
          <w:rFonts w:hint="eastAsia" w:eastAsia="宋体" w:cs="Times New Roman"/>
          <w:b w:val="0"/>
          <w:bCs/>
          <w:lang w:val="en-US" w:eastAsia="zh-CN"/>
        </w:rPr>
        <w:t xml:space="preserve"> RRC parameter discussion</w:t>
      </w:r>
    </w:p>
    <w:p>
      <w:pPr>
        <w:rPr>
          <w:rFonts w:hint="default"/>
          <w:b w:val="0"/>
          <w:bCs w:val="0"/>
          <w:lang w:val="en-US" w:eastAsia="zh-CN"/>
        </w:rPr>
      </w:pPr>
      <w:r>
        <w:rPr>
          <w:rFonts w:ascii="Arial" w:hAnsi="Arial" w:cs="Arial"/>
          <w:color w:val="000000"/>
          <w:lang w:val="en-US" w:eastAsia="zh-CN"/>
        </w:rPr>
        <mc:AlternateContent>
          <mc:Choice Requires="wps">
            <w:drawing>
              <wp:inline distT="0" distB="0" distL="0" distR="0">
                <wp:extent cx="6088380" cy="2437130"/>
                <wp:effectExtent l="4445" t="4445" r="18415" b="12065"/>
                <wp:docPr id="18"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88380" cy="2437130"/>
                        </a:xfrm>
                        <a:prstGeom prst="rect">
                          <a:avLst/>
                        </a:prstGeom>
                        <a:solidFill>
                          <a:srgbClr val="FFFFFF"/>
                        </a:solidFill>
                        <a:ln w="9525">
                          <a:solidFill>
                            <a:srgbClr val="000000"/>
                          </a:solidFill>
                          <a:miter lim="800000"/>
                        </a:ln>
                      </wps:spPr>
                      <wps:txbx>
                        <w:txbxContent>
                          <w:p>
                            <w:pPr>
                              <w:rPr>
                                <w:iCs/>
                              </w:rPr>
                            </w:pPr>
                            <w:r>
                              <w:rPr>
                                <w:iCs/>
                                <w:highlight w:val="green"/>
                              </w:rPr>
                              <w:t>Agreement:</w:t>
                            </w:r>
                          </w:p>
                          <w:p>
                            <w:pPr>
                              <w:pStyle w:val="129"/>
                              <w:numPr>
                                <w:ilvl w:val="0"/>
                                <w:numId w:val="22"/>
                              </w:numPr>
                              <w:spacing w:line="259" w:lineRule="auto"/>
                              <w:ind w:leftChars="0"/>
                              <w:rPr>
                                <w:rFonts w:ascii="Times New Roman" w:hAnsi="Times New Roman"/>
                                <w:szCs w:val="20"/>
                              </w:rPr>
                            </w:pPr>
                            <w:r>
                              <w:rPr>
                                <w:rFonts w:ascii="Times New Roman" w:hAnsi="Times New Roman"/>
                                <w:szCs w:val="20"/>
                              </w:rPr>
                              <w:t>For 480 kHz and/or 960 kHz SCS</w:t>
                            </w:r>
                            <w:r>
                              <w:rPr>
                                <w:rFonts w:ascii="Times New Roman" w:hAnsi="Times New Roman" w:eastAsia="MS PMincho"/>
                                <w:szCs w:val="20"/>
                                <w:lang w:eastAsia="ja-JP"/>
                              </w:rPr>
                              <w:t>, for rank 1 PDSCH at least with DMRS type-1, support a configuration of DMRS where the UE is able to assume that FD-OCC is not applied</w:t>
                            </w:r>
                            <w:r>
                              <w:rPr>
                                <w:rFonts w:ascii="Times New Roman" w:hAnsi="Times New Roman"/>
                                <w:szCs w:val="20"/>
                              </w:rPr>
                              <w:t>.</w:t>
                            </w:r>
                          </w:p>
                          <w:p>
                            <w:pPr>
                              <w:pStyle w:val="129"/>
                              <w:numPr>
                                <w:ilvl w:val="1"/>
                                <w:numId w:val="22"/>
                              </w:numPr>
                              <w:spacing w:line="259" w:lineRule="auto"/>
                              <w:ind w:leftChars="0"/>
                              <w:rPr>
                                <w:rFonts w:ascii="Times New Roman" w:hAnsi="Times New Roman"/>
                                <w:szCs w:val="20"/>
                              </w:rPr>
                            </w:pPr>
                            <w:r>
                              <w:rPr>
                                <w:rFonts w:ascii="Times New Roman" w:hAnsi="Times New Roman"/>
                                <w:szCs w:val="20"/>
                              </w:rPr>
                              <w:t xml:space="preserve">Note: </w:t>
                            </w:r>
                            <w:r>
                              <w:rPr>
                                <w:rFonts w:ascii="Times New Roman" w:hAnsi="Times New Roman"/>
                                <w:szCs w:val="20"/>
                                <w:lang w:eastAsia="zh-CN"/>
                              </w:rPr>
                              <w:t>“FD-OCC is not applied” refers to the UE may assume that a set of remaining orthogonal antenna ports are not associated with the PDSCH to another UE, wherein the set of remaining orthogonal antenna ports are within the same CDM group and have different FD-OCC</w:t>
                            </w:r>
                            <w:r>
                              <w:rPr>
                                <w:rFonts w:ascii="Times New Roman" w:hAnsi="Times New Roman"/>
                                <w:szCs w:val="20"/>
                              </w:rPr>
                              <w:t xml:space="preserve"> </w:t>
                            </w:r>
                          </w:p>
                          <w:p>
                            <w:pPr>
                              <w:pStyle w:val="129"/>
                              <w:numPr>
                                <w:ilvl w:val="1"/>
                                <w:numId w:val="22"/>
                              </w:numPr>
                              <w:spacing w:line="259" w:lineRule="auto"/>
                              <w:ind w:leftChars="0"/>
                              <w:rPr>
                                <w:rFonts w:ascii="Times New Roman" w:hAnsi="Times New Roman"/>
                                <w:szCs w:val="20"/>
                              </w:rPr>
                            </w:pPr>
                            <w:r>
                              <w:rPr>
                                <w:rFonts w:ascii="Times New Roman" w:hAnsi="Times New Roman"/>
                                <w:szCs w:val="20"/>
                              </w:rPr>
                              <w:t>FFS whether applies to DMRS type-2</w:t>
                            </w:r>
                          </w:p>
                          <w:p>
                            <w:pPr>
                              <w:pStyle w:val="129"/>
                              <w:numPr>
                                <w:ilvl w:val="1"/>
                                <w:numId w:val="22"/>
                              </w:numPr>
                              <w:spacing w:line="259" w:lineRule="auto"/>
                              <w:ind w:leftChars="0"/>
                              <w:rPr>
                                <w:rFonts w:ascii="Times New Roman" w:hAnsi="Times New Roman"/>
                                <w:szCs w:val="20"/>
                              </w:rPr>
                            </w:pPr>
                            <w:r>
                              <w:rPr>
                                <w:rFonts w:ascii="Times New Roman" w:hAnsi="Times New Roman" w:eastAsia="MS PMincho"/>
                                <w:szCs w:val="20"/>
                                <w:lang w:eastAsia="ja-JP"/>
                              </w:rPr>
                              <w:t>Down select between the following options for the indication to UE</w:t>
                            </w:r>
                          </w:p>
                          <w:p>
                            <w:pPr>
                              <w:pStyle w:val="129"/>
                              <w:numPr>
                                <w:ilvl w:val="2"/>
                                <w:numId w:val="22"/>
                              </w:numPr>
                              <w:spacing w:line="259" w:lineRule="auto"/>
                              <w:ind w:leftChars="0"/>
                              <w:rPr>
                                <w:rFonts w:ascii="Times New Roman" w:hAnsi="Times New Roman"/>
                                <w:szCs w:val="20"/>
                              </w:rPr>
                            </w:pPr>
                            <w:r>
                              <w:rPr>
                                <w:rFonts w:ascii="Times New Roman" w:hAnsi="Times New Roman" w:eastAsia="MS PMincho"/>
                                <w:szCs w:val="20"/>
                                <w:lang w:eastAsia="ja-JP"/>
                              </w:rPr>
                              <w:t xml:space="preserve">RRC configuration </w:t>
                            </w:r>
                          </w:p>
                          <w:p>
                            <w:pPr>
                              <w:pStyle w:val="129"/>
                              <w:numPr>
                                <w:ilvl w:val="2"/>
                                <w:numId w:val="22"/>
                              </w:numPr>
                              <w:spacing w:line="259" w:lineRule="auto"/>
                              <w:ind w:leftChars="0"/>
                              <w:rPr>
                                <w:rFonts w:ascii="Times New Roman" w:hAnsi="Times New Roman"/>
                                <w:szCs w:val="20"/>
                              </w:rPr>
                            </w:pPr>
                            <w:r>
                              <w:rPr>
                                <w:rFonts w:ascii="Times New Roman" w:hAnsi="Times New Roman" w:eastAsia="MS PMincho"/>
                                <w:szCs w:val="20"/>
                                <w:lang w:eastAsia="ja-JP"/>
                              </w:rPr>
                              <w:t xml:space="preserve">antenna port(s) field in DCI scheduling the rank 1 PDSCH </w:t>
                            </w:r>
                          </w:p>
                          <w:p>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w:pict>
              <v:shape id="Text Box 2" o:spid="_x0000_s1026" o:spt="202" type="#_x0000_t202" style="height:191.9pt;width:479.4pt;" fillcolor="#FFFFFF" filled="t" stroked="t" coordsize="21600,21600" o:gfxdata="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ALjzL1QAAAAUBAAAPAAAAAAAAAAEAIAAA&#10;ACIAAABkcnMvZG93bnJldi54bWxQSwECFAAUAAAACACHTuJAaZqSuA8CAAAuBAAADgAAAAAAAAAB&#10;ACAAAAAkAQAAZHJzL2Uyb0RvYy54bWxQSwUGAAAAAAYABgBZAQAApQUAAAAA&#10;">
                <v:fill on="t" focussize="0,0"/>
                <v:stroke color="#000000" miterlimit="8" joinstyle="miter"/>
                <v:imagedata o:title=""/>
                <o:lock v:ext="edit" aspectratio="f"/>
                <v:textbox>
                  <w:txbxContent>
                    <w:p>
                      <w:pPr>
                        <w:rPr>
                          <w:iCs/>
                        </w:rPr>
                      </w:pPr>
                      <w:r>
                        <w:rPr>
                          <w:iCs/>
                          <w:highlight w:val="green"/>
                        </w:rPr>
                        <w:t>Agreement:</w:t>
                      </w:r>
                    </w:p>
                    <w:p>
                      <w:pPr>
                        <w:pStyle w:val="129"/>
                        <w:numPr>
                          <w:ilvl w:val="0"/>
                          <w:numId w:val="22"/>
                        </w:numPr>
                        <w:spacing w:line="259" w:lineRule="auto"/>
                        <w:ind w:leftChars="0"/>
                        <w:rPr>
                          <w:rFonts w:ascii="Times New Roman" w:hAnsi="Times New Roman"/>
                          <w:szCs w:val="20"/>
                        </w:rPr>
                      </w:pPr>
                      <w:r>
                        <w:rPr>
                          <w:rFonts w:ascii="Times New Roman" w:hAnsi="Times New Roman"/>
                          <w:szCs w:val="20"/>
                        </w:rPr>
                        <w:t>For 480 kHz and/or 960 kHz SCS</w:t>
                      </w:r>
                      <w:r>
                        <w:rPr>
                          <w:rFonts w:ascii="Times New Roman" w:hAnsi="Times New Roman" w:eastAsia="MS PMincho"/>
                          <w:szCs w:val="20"/>
                          <w:lang w:eastAsia="ja-JP"/>
                        </w:rPr>
                        <w:t>, for rank 1 PDSCH at least with DMRS type-1, support a configuration of DMRS where the UE is able to assume that FD-OCC is not applied</w:t>
                      </w:r>
                      <w:r>
                        <w:rPr>
                          <w:rFonts w:ascii="Times New Roman" w:hAnsi="Times New Roman"/>
                          <w:szCs w:val="20"/>
                        </w:rPr>
                        <w:t>.</w:t>
                      </w:r>
                    </w:p>
                    <w:p>
                      <w:pPr>
                        <w:pStyle w:val="129"/>
                        <w:numPr>
                          <w:ilvl w:val="1"/>
                          <w:numId w:val="22"/>
                        </w:numPr>
                        <w:spacing w:line="259" w:lineRule="auto"/>
                        <w:ind w:leftChars="0"/>
                        <w:rPr>
                          <w:rFonts w:ascii="Times New Roman" w:hAnsi="Times New Roman"/>
                          <w:szCs w:val="20"/>
                        </w:rPr>
                      </w:pPr>
                      <w:r>
                        <w:rPr>
                          <w:rFonts w:ascii="Times New Roman" w:hAnsi="Times New Roman"/>
                          <w:szCs w:val="20"/>
                        </w:rPr>
                        <w:t xml:space="preserve">Note: </w:t>
                      </w:r>
                      <w:r>
                        <w:rPr>
                          <w:rFonts w:ascii="Times New Roman" w:hAnsi="Times New Roman"/>
                          <w:szCs w:val="20"/>
                          <w:lang w:eastAsia="zh-CN"/>
                        </w:rPr>
                        <w:t>“FD-OCC is not applied” refers to the UE may assume that a set of remaining orthogonal antenna ports are not associated with the PDSCH to another UE, wherein the set of remaining orthogonal antenna ports are within the same CDM group and have different FD-OCC</w:t>
                      </w:r>
                      <w:r>
                        <w:rPr>
                          <w:rFonts w:ascii="Times New Roman" w:hAnsi="Times New Roman"/>
                          <w:szCs w:val="20"/>
                        </w:rPr>
                        <w:t xml:space="preserve"> </w:t>
                      </w:r>
                    </w:p>
                    <w:p>
                      <w:pPr>
                        <w:pStyle w:val="129"/>
                        <w:numPr>
                          <w:ilvl w:val="1"/>
                          <w:numId w:val="22"/>
                        </w:numPr>
                        <w:spacing w:line="259" w:lineRule="auto"/>
                        <w:ind w:leftChars="0"/>
                        <w:rPr>
                          <w:rFonts w:ascii="Times New Roman" w:hAnsi="Times New Roman"/>
                          <w:szCs w:val="20"/>
                        </w:rPr>
                      </w:pPr>
                      <w:r>
                        <w:rPr>
                          <w:rFonts w:ascii="Times New Roman" w:hAnsi="Times New Roman"/>
                          <w:szCs w:val="20"/>
                        </w:rPr>
                        <w:t>FFS whether applies to DMRS type-2</w:t>
                      </w:r>
                    </w:p>
                    <w:p>
                      <w:pPr>
                        <w:pStyle w:val="129"/>
                        <w:numPr>
                          <w:ilvl w:val="1"/>
                          <w:numId w:val="22"/>
                        </w:numPr>
                        <w:spacing w:line="259" w:lineRule="auto"/>
                        <w:ind w:leftChars="0"/>
                        <w:rPr>
                          <w:rFonts w:ascii="Times New Roman" w:hAnsi="Times New Roman"/>
                          <w:szCs w:val="20"/>
                        </w:rPr>
                      </w:pPr>
                      <w:r>
                        <w:rPr>
                          <w:rFonts w:ascii="Times New Roman" w:hAnsi="Times New Roman" w:eastAsia="MS PMincho"/>
                          <w:szCs w:val="20"/>
                          <w:lang w:eastAsia="ja-JP"/>
                        </w:rPr>
                        <w:t>Down select between the following options for the indication to UE</w:t>
                      </w:r>
                    </w:p>
                    <w:p>
                      <w:pPr>
                        <w:pStyle w:val="129"/>
                        <w:numPr>
                          <w:ilvl w:val="2"/>
                          <w:numId w:val="22"/>
                        </w:numPr>
                        <w:spacing w:line="259" w:lineRule="auto"/>
                        <w:ind w:leftChars="0"/>
                        <w:rPr>
                          <w:rFonts w:ascii="Times New Roman" w:hAnsi="Times New Roman"/>
                          <w:szCs w:val="20"/>
                        </w:rPr>
                      </w:pPr>
                      <w:r>
                        <w:rPr>
                          <w:rFonts w:ascii="Times New Roman" w:hAnsi="Times New Roman" w:eastAsia="MS PMincho"/>
                          <w:szCs w:val="20"/>
                          <w:lang w:eastAsia="ja-JP"/>
                        </w:rPr>
                        <w:t xml:space="preserve">RRC configuration </w:t>
                      </w:r>
                    </w:p>
                    <w:p>
                      <w:pPr>
                        <w:pStyle w:val="129"/>
                        <w:numPr>
                          <w:ilvl w:val="2"/>
                          <w:numId w:val="22"/>
                        </w:numPr>
                        <w:spacing w:line="259" w:lineRule="auto"/>
                        <w:ind w:leftChars="0"/>
                        <w:rPr>
                          <w:rFonts w:ascii="Times New Roman" w:hAnsi="Times New Roman"/>
                          <w:szCs w:val="20"/>
                        </w:rPr>
                      </w:pPr>
                      <w:r>
                        <w:rPr>
                          <w:rFonts w:ascii="Times New Roman" w:hAnsi="Times New Roman" w:eastAsia="MS PMincho"/>
                          <w:szCs w:val="20"/>
                          <w:lang w:eastAsia="ja-JP"/>
                        </w:rPr>
                        <w:t xml:space="preserve">antenna port(s) field in DCI scheduling the rank 1 PDSCH </w:t>
                      </w:r>
                    </w:p>
                    <w:p>
                      <w:pPr>
                        <w:numPr>
                          <w:ilvl w:val="255"/>
                          <w:numId w:val="0"/>
                        </w:numPr>
                        <w:spacing w:after="0" w:line="240" w:lineRule="auto"/>
                        <w:rPr>
                          <w:b/>
                          <w:bCs/>
                          <w:lang w:eastAsia="zh-CN"/>
                        </w:rPr>
                      </w:pPr>
                    </w:p>
                  </w:txbxContent>
                </v:textbox>
                <w10:wrap type="none"/>
                <w10:anchorlock/>
              </v:shape>
            </w:pict>
          </mc:Fallback>
        </mc:AlternateContent>
      </w:r>
    </w:p>
    <w:p>
      <w:pPr>
        <w:jc w:val="both"/>
        <w:rPr>
          <w:rFonts w:hint="default"/>
          <w:b w:val="0"/>
          <w:bCs w:val="0"/>
          <w:lang w:val="en-US" w:eastAsia="zh-CN"/>
        </w:rPr>
      </w:pPr>
      <w:r>
        <w:rPr>
          <w:rFonts w:hint="eastAsia"/>
          <w:b w:val="0"/>
          <w:bCs w:val="0"/>
          <w:lang w:val="en-US" w:eastAsia="zh-CN"/>
        </w:rPr>
        <w:t xml:space="preserve">It has been agreed in RAN1#106-e meeting that, </w:t>
      </w:r>
      <w:r>
        <w:rPr>
          <w:rFonts w:hint="eastAsia" w:eastAsia="宋体"/>
          <w:szCs w:val="20"/>
          <w:lang w:val="en-US" w:eastAsia="zh-CN"/>
        </w:rPr>
        <w:t>f</w:t>
      </w:r>
      <w:r>
        <w:rPr>
          <w:rFonts w:ascii="Times New Roman" w:hAnsi="Times New Roman"/>
          <w:szCs w:val="20"/>
        </w:rPr>
        <w:t>or 480 kHz and/or 960 kHz SCS</w:t>
      </w:r>
      <w:r>
        <w:rPr>
          <w:rFonts w:ascii="Times New Roman" w:hAnsi="Times New Roman" w:eastAsia="MS PMincho"/>
          <w:szCs w:val="20"/>
          <w:lang w:eastAsia="ja-JP"/>
        </w:rPr>
        <w:t>, for rank 1 PDSCH at least with DMRS type-1,</w:t>
      </w:r>
      <w:r>
        <w:rPr>
          <w:rFonts w:hint="eastAsia" w:eastAsia="宋体"/>
          <w:szCs w:val="20"/>
          <w:lang w:val="en-US" w:eastAsia="zh-CN"/>
        </w:rPr>
        <w:t xml:space="preserve"> </w:t>
      </w:r>
      <w:r>
        <w:rPr>
          <w:rFonts w:hint="eastAsia"/>
          <w:b w:val="0"/>
          <w:bCs w:val="0"/>
          <w:lang w:val="en-US" w:eastAsia="zh-CN"/>
        </w:rPr>
        <w:t>s</w:t>
      </w:r>
      <w:r>
        <w:rPr>
          <w:rFonts w:ascii="Times New Roman" w:hAnsi="Times New Roman" w:eastAsia="MS PMincho"/>
          <w:szCs w:val="20"/>
          <w:lang w:eastAsia="ja-JP"/>
        </w:rPr>
        <w:t>upport a configuration of DMRS where the UE is able to assume that FD-OCC is not applied</w:t>
      </w:r>
      <w:r>
        <w:rPr>
          <w:rFonts w:hint="eastAsia" w:ascii="Times New Roman" w:hAnsi="Times New Roman" w:eastAsia="宋体"/>
          <w:szCs w:val="20"/>
          <w:lang w:val="en-US" w:eastAsia="zh-CN"/>
        </w:rPr>
        <w:t xml:space="preserve">. There are two </w:t>
      </w:r>
      <w:r>
        <w:rPr>
          <w:rFonts w:hint="eastAsia" w:eastAsia="宋体"/>
          <w:szCs w:val="20"/>
          <w:lang w:val="en-US" w:eastAsia="zh-CN"/>
        </w:rPr>
        <w:t>options for the indication FD-OCC off</w:t>
      </w:r>
      <w:r>
        <w:rPr>
          <w:rFonts w:hint="eastAsia" w:ascii="Times New Roman" w:hAnsi="Times New Roman" w:eastAsia="宋体"/>
          <w:szCs w:val="20"/>
          <w:lang w:val="en-US" w:eastAsia="zh-CN"/>
        </w:rPr>
        <w:t xml:space="preserve">. One is using the </w:t>
      </w:r>
      <w:r>
        <w:rPr>
          <w:rFonts w:hint="eastAsia"/>
          <w:lang w:val="en-US" w:eastAsia="zh-CN"/>
        </w:rPr>
        <w:t xml:space="preserve">antenna port(s) field in DCI to support the feature, the other way is to use the RRC parameter to support the </w:t>
      </w:r>
      <w:r>
        <w:rPr>
          <w:rFonts w:ascii="Times New Roman" w:hAnsi="Times New Roman" w:eastAsia="MS PMincho"/>
          <w:szCs w:val="20"/>
          <w:lang w:eastAsia="ja-JP"/>
        </w:rPr>
        <w:t>FD-OCC</w:t>
      </w:r>
      <w:r>
        <w:rPr>
          <w:rFonts w:hint="eastAsia" w:eastAsia="宋体"/>
          <w:szCs w:val="20"/>
          <w:lang w:val="en-US" w:eastAsia="zh-CN"/>
        </w:rPr>
        <w:t xml:space="preserve"> off configuration. If RRC configuration is used to indicate FD-OCC off, the corresponding RRC parameter may need to be defined.</w:t>
      </w:r>
    </w:p>
    <w:p>
      <w:pPr>
        <w:jc w:val="both"/>
        <w:rPr>
          <w:rFonts w:hint="eastAsia"/>
          <w:b/>
          <w:bCs/>
          <w:lang w:val="en-US" w:eastAsia="zh-CN"/>
        </w:rPr>
      </w:pPr>
      <w:r>
        <w:rPr>
          <w:rFonts w:hint="eastAsia"/>
          <w:b/>
          <w:bCs/>
          <w:lang w:val="en-US" w:eastAsia="zh-CN"/>
        </w:rPr>
        <w:t xml:space="preserve">Proposal 16: </w:t>
      </w:r>
      <w:r>
        <w:rPr>
          <w:rFonts w:hint="eastAsia" w:eastAsia="宋体"/>
          <w:b/>
          <w:bCs/>
          <w:szCs w:val="20"/>
          <w:lang w:val="en-US" w:eastAsia="zh-CN"/>
        </w:rPr>
        <w:t>If RRC configuration option is selected to indicate FD-OCC off, the corresponding RRC parameter may need to be defined.</w:t>
      </w:r>
    </w:p>
    <w:p>
      <w:pPr>
        <w:pStyle w:val="2"/>
        <w:spacing w:before="120" w:after="120" w:line="240" w:lineRule="auto"/>
        <w:jc w:val="both"/>
        <w:rPr>
          <w:rFonts w:ascii="Times New Roman" w:hAnsi="Times New Roman" w:eastAsia="宋体"/>
          <w:b/>
          <w:sz w:val="32"/>
          <w:szCs w:val="32"/>
          <w:lang w:val="en-US" w:eastAsia="zh-CN"/>
        </w:rPr>
      </w:pPr>
      <w:r>
        <w:rPr>
          <w:rFonts w:hint="eastAsia" w:ascii="Times New Roman" w:hAnsi="Times New Roman" w:eastAsia="宋体"/>
          <w:b/>
          <w:sz w:val="32"/>
          <w:szCs w:val="32"/>
          <w:lang w:val="en-US" w:eastAsia="zh-CN"/>
        </w:rPr>
        <w:t xml:space="preserve"> Conclusion</w:t>
      </w:r>
    </w:p>
    <w:p>
      <w:pPr>
        <w:jc w:val="both"/>
        <w:rPr>
          <w:lang w:val="en-US" w:eastAsia="zh-CN"/>
        </w:rPr>
      </w:pPr>
      <w:r>
        <w:rPr>
          <w:rFonts w:hint="eastAsia"/>
          <w:lang w:val="en-US" w:eastAsia="zh-CN"/>
        </w:rPr>
        <w:t xml:space="preserve">In this contribution, we have discussed potential PUSCH/PDSCH enhancement, including </w:t>
      </w:r>
      <w:r>
        <w:rPr>
          <w:rFonts w:hint="eastAsia" w:eastAsia="宋体"/>
          <w:lang w:val="en-US" w:eastAsia="zh-CN"/>
        </w:rPr>
        <w:t>HARQ-ACK transmission, HARQ-ACK codebook and multiple PXSCH scheduling</w:t>
      </w:r>
      <w:r>
        <w:rPr>
          <w:rFonts w:hint="eastAsia"/>
          <w:lang w:val="en-US" w:eastAsia="zh-CN"/>
        </w:rPr>
        <w:t>, time line related aspects adapted to each of the new numerologies 480kHz and 960kHz, reference signals. Based on this, the following observations and proposals are provided:</w:t>
      </w:r>
    </w:p>
    <w:p>
      <w:pPr>
        <w:jc w:val="both"/>
        <w:rPr>
          <w:b/>
          <w:bCs/>
          <w:lang w:val="en-US" w:eastAsia="zh-CN"/>
        </w:rPr>
      </w:pPr>
      <w:r>
        <w:rPr>
          <w:rFonts w:hint="eastAsia"/>
          <w:b/>
          <w:bCs/>
          <w:lang w:val="en-US" w:eastAsia="zh-CN"/>
        </w:rPr>
        <w:t>Observation 1: When PRB number is not larger than 32, CPE compensation with lower PTRS density can achieve similar or better performance than ICI compensation with higher PTRS density.</w:t>
      </w:r>
    </w:p>
    <w:p>
      <w:pPr>
        <w:jc w:val="both"/>
        <w:rPr>
          <w:b/>
          <w:bCs/>
          <w:lang w:val="en-US" w:eastAsia="zh-CN"/>
        </w:rPr>
      </w:pPr>
      <w:r>
        <w:rPr>
          <w:rFonts w:hint="eastAsia"/>
          <w:b/>
          <w:bCs/>
          <w:lang w:val="en-US" w:eastAsia="zh-CN"/>
        </w:rPr>
        <w:t>Observation 2: Block PTRS with cyclic sequence cannot provide performance gain compared with legacy PTRS.</w:t>
      </w:r>
    </w:p>
    <w:p>
      <w:pPr>
        <w:jc w:val="both"/>
        <w:rPr>
          <w:rFonts w:hint="eastAsia" w:eastAsia="宋体"/>
          <w:b/>
          <w:bCs/>
          <w:lang w:val="en-US" w:eastAsia="zh-CN"/>
        </w:rPr>
      </w:pPr>
      <w:r>
        <w:rPr>
          <w:rFonts w:hint="eastAsia" w:eastAsia="宋体"/>
          <w:b/>
          <w:bCs/>
          <w:lang w:val="en-US" w:eastAsia="zh-CN"/>
        </w:rPr>
        <w:t xml:space="preserve">Observation 3: Block PTRS with power boosting cannot achieve better performance than legacy PTRS. </w:t>
      </w:r>
    </w:p>
    <w:p>
      <w:pPr>
        <w:jc w:val="both"/>
        <w:rPr>
          <w:rFonts w:hint="eastAsia" w:eastAsia="宋体"/>
          <w:b/>
          <w:bCs/>
          <w:lang w:val="en-US" w:eastAsia="zh-CN"/>
        </w:rPr>
      </w:pPr>
      <w:r>
        <w:rPr>
          <w:rFonts w:hint="eastAsia" w:eastAsia="宋体"/>
          <w:b/>
          <w:bCs/>
          <w:lang w:val="en-US" w:eastAsia="zh-CN"/>
        </w:rPr>
        <w:t>Observation 4: Introducing a new PTRS pattern requires great spec efforts at least on sequence construction, RRC parameters and PTRS pattern type indication.</w:t>
      </w:r>
    </w:p>
    <w:p>
      <w:pPr>
        <w:jc w:val="both"/>
        <w:rPr>
          <w:b/>
          <w:bCs/>
          <w:lang w:val="en-US" w:eastAsia="zh-CN"/>
        </w:rPr>
      </w:pPr>
      <w:r>
        <w:rPr>
          <w:rFonts w:hint="eastAsia"/>
          <w:b/>
          <w:bCs/>
          <w:lang w:val="en-US" w:eastAsia="zh-CN"/>
        </w:rPr>
        <w:t>Observation 5: Increasing PTRS groups for DFT-s-OFDM waveform can bring benefit to performance of 120kHz SCS and MCS 22.</w:t>
      </w:r>
    </w:p>
    <w:p>
      <w:pPr>
        <w:jc w:val="both"/>
        <w:rPr>
          <w:lang w:val="en-US" w:eastAsia="zh-CN"/>
        </w:rPr>
      </w:pPr>
      <w:r>
        <w:rPr>
          <w:rFonts w:hint="eastAsia" w:eastAsia="宋体"/>
          <w:b/>
          <w:bCs/>
          <w:lang w:val="en-US" w:eastAsia="zh-CN"/>
        </w:rPr>
        <w:t>Observation 6: With the same total RS power, Rel-15 DMRS Type 1</w:t>
      </w:r>
      <w:r>
        <w:rPr>
          <w:rFonts w:eastAsia="宋体"/>
          <w:b/>
          <w:bCs/>
          <w:lang w:val="en-US" w:eastAsia="zh-CN"/>
        </w:rPr>
        <w:t xml:space="preserve"> pattern</w:t>
      </w:r>
      <w:r>
        <w:rPr>
          <w:rFonts w:hint="eastAsia" w:eastAsia="宋体"/>
          <w:b/>
          <w:bCs/>
          <w:lang w:val="en-US" w:eastAsia="zh-CN"/>
        </w:rPr>
        <w:t xml:space="preserve"> and </w:t>
      </w:r>
      <w:r>
        <w:rPr>
          <w:rFonts w:eastAsia="宋体"/>
          <w:b/>
          <w:bCs/>
          <w:lang w:val="en-US" w:eastAsia="zh-CN"/>
        </w:rPr>
        <w:t xml:space="preserve">the </w:t>
      </w:r>
      <w:r>
        <w:rPr>
          <w:rFonts w:hint="eastAsia" w:eastAsia="宋体"/>
          <w:b/>
          <w:bCs/>
          <w:lang w:val="en-US" w:eastAsia="zh-CN"/>
        </w:rPr>
        <w:t xml:space="preserve">new DMRS pattern </w:t>
      </w:r>
      <w:r>
        <w:rPr>
          <w:rFonts w:eastAsia="宋体"/>
          <w:b/>
          <w:bCs/>
          <w:lang w:val="en-US" w:eastAsia="zh-CN"/>
        </w:rPr>
        <w:t xml:space="preserve">that fully occupied in frequency domain </w:t>
      </w:r>
      <w:r>
        <w:rPr>
          <w:rFonts w:hint="eastAsia" w:eastAsia="宋体"/>
          <w:b/>
          <w:bCs/>
          <w:lang w:val="en-US" w:eastAsia="zh-CN"/>
        </w:rPr>
        <w:t>show comparable performance.</w:t>
      </w:r>
    </w:p>
    <w:p>
      <w:pPr>
        <w:jc w:val="both"/>
        <w:rPr>
          <w:rFonts w:hint="eastAsia"/>
          <w:b/>
          <w:bCs/>
          <w:lang w:val="en-US" w:eastAsia="zh-CN"/>
        </w:rPr>
      </w:pPr>
      <w:r>
        <w:rPr>
          <w:rFonts w:hint="eastAsia"/>
          <w:b/>
          <w:bCs/>
          <w:i w:val="0"/>
          <w:iCs w:val="0"/>
          <w:lang w:val="en-US" w:eastAsia="zh-CN"/>
        </w:rPr>
        <w:t>Proposal 1: HARQ process number increment should not be skipped for the PDSCH/PUSCH which collides with a flexible symbol (indicated by tdd-UL-DL-ConfigurationCommon or tdd-UL-DL-ConfigurationDedicated) even if the UE is configured to monitor DCI format 2_0.</w:t>
      </w:r>
      <w:r>
        <w:rPr>
          <w:rFonts w:hint="eastAsia"/>
          <w:b/>
          <w:bCs/>
          <w:lang w:val="en-US" w:eastAsia="zh-CN"/>
        </w:rPr>
        <w:t xml:space="preserve"> </w:t>
      </w:r>
    </w:p>
    <w:p>
      <w:pPr>
        <w:jc w:val="both"/>
        <w:rPr>
          <w:rFonts w:hint="default" w:ascii="Times New Roman" w:hAnsi="Times New Roman" w:eastAsia="宋体"/>
          <w:b/>
          <w:bCs/>
          <w:lang w:val="en-US" w:eastAsia="zh-CN"/>
        </w:rPr>
      </w:pPr>
      <w:r>
        <w:rPr>
          <w:rFonts w:hint="eastAsia" w:ascii="Times New Roman" w:hAnsi="Times New Roman" w:eastAsia="宋体"/>
          <w:b/>
          <w:bCs/>
          <w:lang w:val="en-US" w:eastAsia="zh-CN"/>
        </w:rPr>
        <w:t xml:space="preserve">Proposal 2: </w:t>
      </w:r>
      <w:r>
        <w:rPr>
          <w:rFonts w:hint="eastAsia" w:eastAsia="宋体"/>
          <w:b/>
          <w:bCs/>
          <w:strike w:val="0"/>
          <w:lang w:val="en-US" w:eastAsia="zh-CN"/>
        </w:rPr>
        <w:t>In order to strive peak throughput and competitiveness of NR operating beyond 52.6 GHz and minimize the increase in the number of bits in the DCI, s</w:t>
      </w:r>
      <w:r>
        <w:rPr>
          <w:rFonts w:ascii="Times New Roman" w:hAnsi="Times New Roman" w:eastAsia="Malgun Gothic"/>
          <w:b/>
          <w:bCs/>
          <w:lang w:val="en-US"/>
        </w:rPr>
        <w:t xml:space="preserve">ignaling of MCS/NDI/RV for the second TB </w:t>
      </w:r>
      <w:r>
        <w:rPr>
          <w:rFonts w:hint="eastAsia" w:ascii="Times New Roman" w:hAnsi="Times New Roman" w:eastAsia="宋体"/>
          <w:b/>
          <w:bCs/>
          <w:lang w:val="en-US" w:eastAsia="zh-CN"/>
        </w:rPr>
        <w:t xml:space="preserve">can reuse the signaling of MCS/NDI/RV for the first TB in a DCI </w:t>
      </w:r>
      <w:r>
        <w:rPr>
          <w:rFonts w:ascii="Times New Roman" w:hAnsi="Times New Roman" w:eastAsia="Malgun Gothic"/>
          <w:b/>
          <w:bCs/>
          <w:lang w:val="en-US"/>
        </w:rPr>
        <w:t>that can schedule multiple PDSCHs when two codeword transmission is enabled</w:t>
      </w:r>
      <w:r>
        <w:rPr>
          <w:rFonts w:hint="eastAsia" w:ascii="Times New Roman" w:hAnsi="Times New Roman" w:eastAsia="宋体"/>
          <w:b/>
          <w:bCs/>
          <w:lang w:val="en-US" w:eastAsia="zh-CN"/>
        </w:rPr>
        <w:t>.</w:t>
      </w:r>
      <w:r>
        <w:rPr>
          <w:rFonts w:hint="eastAsia" w:ascii="Times New Roman" w:hAnsi="Times New Roman" w:eastAsia="宋体"/>
          <w:lang w:val="en-US" w:eastAsia="zh-CN"/>
        </w:rPr>
        <w:t xml:space="preserve"> </w:t>
      </w:r>
    </w:p>
    <w:p>
      <w:pPr>
        <w:jc w:val="both"/>
        <w:rPr>
          <w:b/>
          <w:bCs/>
          <w:lang w:val="en-US" w:eastAsia="zh-CN"/>
        </w:rPr>
      </w:pPr>
      <w:r>
        <w:rPr>
          <w:rFonts w:hint="eastAsia"/>
          <w:b/>
          <w:bCs/>
          <w:lang w:val="en-US" w:eastAsia="zh-CN"/>
        </w:rPr>
        <w:t>Proposal 3: A method for extending the K1 set and determining the association between each element of the extended K1 set and a set of SLIVs should be defined.</w:t>
      </w:r>
    </w:p>
    <w:p>
      <w:pPr>
        <w:pStyle w:val="17"/>
        <w:jc w:val="both"/>
        <w:rPr>
          <w:rFonts w:hint="default"/>
          <w:b/>
          <w:bCs/>
          <w:kern w:val="2"/>
          <w:lang w:val="en-US" w:eastAsia="zh-CN"/>
        </w:rPr>
      </w:pPr>
      <w:r>
        <w:rPr>
          <w:rFonts w:hint="eastAsia"/>
          <w:b/>
          <w:bCs/>
          <w:kern w:val="2"/>
          <w:lang w:val="en-US" w:eastAsia="zh-CN"/>
        </w:rPr>
        <w:t>Proposal 4: Option 3 is preferred when CBG operation is configured.</w:t>
      </w:r>
    </w:p>
    <w:p>
      <w:pPr>
        <w:numPr>
          <w:ilvl w:val="0"/>
          <w:numId w:val="24"/>
        </w:numPr>
        <w:ind w:left="420" w:hanging="420"/>
        <w:jc w:val="both"/>
        <w:rPr>
          <w:rFonts w:hint="default"/>
          <w:b/>
          <w:bCs/>
          <w:kern w:val="2"/>
          <w:lang w:val="en-US" w:eastAsia="zh-CN"/>
        </w:rPr>
      </w:pPr>
      <w:r>
        <w:rPr>
          <w:rFonts w:hint="default"/>
          <w:b/>
          <w:bCs/>
          <w:kern w:val="2"/>
          <w:lang w:val="en-US" w:eastAsia="zh-CN"/>
        </w:rPr>
        <w:t>UE does not expect to be configured with both of CBG operation and multi-PDSCH scheduling in the same PUCCH cell group.</w:t>
      </w:r>
    </w:p>
    <w:p>
      <w:pPr>
        <w:jc w:val="both"/>
        <w:rPr>
          <w:rFonts w:hint="eastAsia" w:eastAsia="宋体"/>
          <w:b/>
          <w:bCs/>
          <w:lang w:val="en-US" w:eastAsia="zh-CN"/>
        </w:rPr>
      </w:pPr>
      <w:r>
        <w:rPr>
          <w:rFonts w:hint="eastAsia" w:eastAsia="宋体"/>
          <w:b/>
          <w:bCs/>
          <w:lang w:val="en-US" w:eastAsia="zh-CN"/>
        </w:rPr>
        <w:t xml:space="preserve">Proposal 5: HARQ-ACK information corresponding to different PDSCHs scheduled by the DCI can be carried by different PUCCH(s) </w:t>
      </w:r>
      <w:r>
        <w:rPr>
          <w:rFonts w:eastAsia="宋体"/>
          <w:b/>
          <w:bCs/>
          <w:lang w:val="en-US" w:eastAsia="zh-CN"/>
        </w:rPr>
        <w:t>considering</w:t>
      </w:r>
      <w:r>
        <w:rPr>
          <w:rFonts w:hint="eastAsia" w:eastAsia="宋体"/>
          <w:b/>
          <w:bCs/>
          <w:lang w:val="en-US" w:eastAsia="zh-CN"/>
        </w:rPr>
        <w:t xml:space="preserve"> HARQ-ACK feedback delay.</w:t>
      </w:r>
    </w:p>
    <w:p>
      <w:pPr>
        <w:adjustRightInd w:val="0"/>
        <w:snapToGrid w:val="0"/>
        <w:spacing w:after="156" w:afterLines="50" w:line="260" w:lineRule="auto"/>
        <w:jc w:val="both"/>
        <w:rPr>
          <w:rFonts w:hint="eastAsia" w:cs="Times New Roman"/>
          <w:b/>
          <w:bCs w:val="0"/>
          <w:i w:val="0"/>
          <w:iCs/>
          <w:kern w:val="0"/>
          <w:sz w:val="20"/>
          <w:szCs w:val="20"/>
          <w:lang w:val="en-US" w:eastAsia="zh-CN"/>
        </w:rPr>
      </w:pPr>
      <w:r>
        <w:rPr>
          <w:rFonts w:hint="eastAsia" w:ascii="Times New Roman" w:hAnsi="Times New Roman" w:cs="Times New Roman"/>
          <w:b/>
          <w:bCs w:val="0"/>
          <w:i w:val="0"/>
          <w:iCs/>
          <w:kern w:val="0"/>
          <w:sz w:val="20"/>
          <w:szCs w:val="20"/>
          <w:highlight w:val="none"/>
          <w:lang w:val="en-GB"/>
        </w:rPr>
        <w:t>P</w:t>
      </w:r>
      <w:r>
        <w:rPr>
          <w:rFonts w:ascii="Times New Roman" w:hAnsi="Times New Roman" w:cs="Times New Roman"/>
          <w:b/>
          <w:bCs w:val="0"/>
          <w:i w:val="0"/>
          <w:iCs/>
          <w:kern w:val="0"/>
          <w:sz w:val="20"/>
          <w:szCs w:val="20"/>
          <w:highlight w:val="none"/>
          <w:lang w:val="en-GB"/>
        </w:rPr>
        <w:t>roposal</w:t>
      </w:r>
      <w:r>
        <w:rPr>
          <w:rFonts w:hint="eastAsia" w:ascii="Times New Roman" w:hAnsi="Times New Roman" w:eastAsia="宋体" w:cs="Times New Roman"/>
          <w:b/>
          <w:bCs w:val="0"/>
          <w:i w:val="0"/>
          <w:iCs/>
          <w:kern w:val="0"/>
          <w:sz w:val="20"/>
          <w:szCs w:val="20"/>
          <w:highlight w:val="none"/>
          <w:lang w:val="en-US" w:eastAsia="zh-CN"/>
        </w:rPr>
        <w:t xml:space="preserve"> 6</w:t>
      </w:r>
      <w:r>
        <w:rPr>
          <w:rFonts w:ascii="Times New Roman" w:hAnsi="Times New Roman" w:cs="Times New Roman"/>
          <w:b/>
          <w:bCs w:val="0"/>
          <w:i w:val="0"/>
          <w:iCs/>
          <w:kern w:val="0"/>
          <w:sz w:val="20"/>
          <w:szCs w:val="20"/>
          <w:lang w:val="en-GB"/>
        </w:rPr>
        <w:t xml:space="preserve">: </w:t>
      </w:r>
      <w:r>
        <w:rPr>
          <w:rFonts w:hint="eastAsia" w:cs="Times New Roman"/>
          <w:b/>
          <w:bCs w:val="0"/>
          <w:i w:val="0"/>
          <w:iCs/>
          <w:kern w:val="0"/>
          <w:sz w:val="20"/>
          <w:szCs w:val="20"/>
          <w:lang w:val="en-US" w:eastAsia="zh-CN"/>
        </w:rPr>
        <w:t>For NR FR2-2, extend the value range of K1 from (0..15) to (0..31).</w:t>
      </w:r>
    </w:p>
    <w:p>
      <w:pPr>
        <w:adjustRightInd w:val="0"/>
        <w:snapToGrid w:val="0"/>
        <w:spacing w:before="156" w:beforeLines="50" w:after="156" w:afterLines="50"/>
        <w:jc w:val="both"/>
        <w:rPr>
          <w:rFonts w:eastAsia="宋体"/>
          <w:b/>
          <w:bCs/>
          <w:lang w:val="en-US" w:eastAsia="zh-CN"/>
        </w:rPr>
      </w:pPr>
      <w:r>
        <w:rPr>
          <w:rFonts w:hint="eastAsia" w:ascii="Times New Roman" w:hAnsi="Times New Roman" w:cs="Times New Roman"/>
          <w:b/>
          <w:bCs w:val="0"/>
          <w:i w:val="0"/>
          <w:iCs/>
          <w:kern w:val="0"/>
          <w:sz w:val="20"/>
          <w:szCs w:val="20"/>
          <w:lang w:val="en-GB"/>
        </w:rPr>
        <w:t>P</w:t>
      </w:r>
      <w:r>
        <w:rPr>
          <w:rFonts w:ascii="Times New Roman" w:hAnsi="Times New Roman" w:cs="Times New Roman"/>
          <w:b/>
          <w:bCs w:val="0"/>
          <w:i w:val="0"/>
          <w:iCs/>
          <w:kern w:val="0"/>
          <w:sz w:val="20"/>
          <w:szCs w:val="20"/>
          <w:lang w:val="en-GB"/>
        </w:rPr>
        <w:t xml:space="preserve">roposal </w:t>
      </w:r>
      <w:r>
        <w:rPr>
          <w:rFonts w:hint="eastAsia" w:ascii="Times New Roman" w:hAnsi="Times New Roman" w:eastAsia="宋体" w:cs="Times New Roman"/>
          <w:b/>
          <w:bCs w:val="0"/>
          <w:i w:val="0"/>
          <w:iCs/>
          <w:kern w:val="0"/>
          <w:sz w:val="20"/>
          <w:szCs w:val="20"/>
          <w:lang w:val="en-US" w:eastAsia="zh-CN"/>
        </w:rPr>
        <w:t>7</w:t>
      </w:r>
      <w:r>
        <w:rPr>
          <w:rFonts w:ascii="Times New Roman" w:hAnsi="Times New Roman" w:cs="Times New Roman"/>
          <w:b/>
          <w:bCs w:val="0"/>
          <w:i w:val="0"/>
          <w:iCs/>
          <w:kern w:val="0"/>
          <w:sz w:val="20"/>
          <w:szCs w:val="20"/>
          <w:lang w:val="en-GB"/>
        </w:rPr>
        <w:t xml:space="preserve">: </w:t>
      </w:r>
      <w:r>
        <w:rPr>
          <w:rFonts w:hint="default" w:ascii="Times New Roman" w:hAnsi="Times New Roman" w:cs="Times New Roman"/>
          <w:b/>
          <w:bCs w:val="0"/>
          <w:i w:val="0"/>
          <w:iCs/>
          <w:kern w:val="0"/>
          <w:sz w:val="20"/>
          <w:szCs w:val="20"/>
          <w:lang w:val="en-GB" w:eastAsia="zh-CN"/>
        </w:rPr>
        <w:t>For NR FR2-2</w:t>
      </w:r>
      <w:r>
        <w:rPr>
          <w:rFonts w:hint="eastAsia" w:ascii="Times New Roman" w:hAnsi="Times New Roman" w:cs="Times New Roman"/>
          <w:b/>
          <w:bCs w:val="0"/>
          <w:i w:val="0"/>
          <w:iCs/>
          <w:kern w:val="0"/>
          <w:sz w:val="20"/>
          <w:szCs w:val="20"/>
          <w:lang w:val="en-US" w:eastAsia="zh-CN"/>
        </w:rPr>
        <w:t>,</w:t>
      </w:r>
      <w:r>
        <w:rPr>
          <w:rFonts w:hint="eastAsia" w:cs="Times New Roman"/>
          <w:b/>
          <w:bCs w:val="0"/>
          <w:i w:val="0"/>
          <w:iCs/>
          <w:kern w:val="0"/>
          <w:sz w:val="20"/>
          <w:szCs w:val="20"/>
          <w:lang w:val="en-US" w:eastAsia="zh-CN"/>
        </w:rPr>
        <w:t xml:space="preserve"> at least for 480/960 kHz SCS</w:t>
      </w:r>
      <w:r>
        <w:rPr>
          <w:rFonts w:ascii="Times New Roman" w:hAnsi="Times New Roman" w:cs="Times New Roman"/>
          <w:b/>
          <w:bCs w:val="0"/>
          <w:i w:val="0"/>
          <w:iCs/>
          <w:kern w:val="0"/>
          <w:sz w:val="20"/>
          <w:szCs w:val="20"/>
          <w:lang w:val="en-GB" w:eastAsia="en-US"/>
        </w:rPr>
        <w:t xml:space="preserve">, </w:t>
      </w:r>
      <w:r>
        <w:rPr>
          <w:rFonts w:hint="eastAsia" w:ascii="Times New Roman" w:hAnsi="Times New Roman" w:cs="Times New Roman"/>
          <w:b/>
          <w:bCs w:val="0"/>
          <w:i w:val="0"/>
          <w:iCs/>
          <w:kern w:val="0"/>
          <w:sz w:val="20"/>
          <w:szCs w:val="20"/>
          <w:lang w:val="en-US" w:eastAsia="en-US"/>
        </w:rPr>
        <w:t>increas</w:t>
      </w:r>
      <w:r>
        <w:rPr>
          <w:rFonts w:hint="eastAsia" w:cs="Times New Roman"/>
          <w:b/>
          <w:bCs w:val="0"/>
          <w:i w:val="0"/>
          <w:iCs/>
          <w:kern w:val="0"/>
          <w:sz w:val="20"/>
          <w:szCs w:val="20"/>
          <w:lang w:val="en-US" w:eastAsia="zh-CN"/>
        </w:rPr>
        <w:t>ing</w:t>
      </w:r>
      <w:r>
        <w:rPr>
          <w:rFonts w:hint="eastAsia" w:ascii="Times New Roman" w:hAnsi="Times New Roman" w:cs="Times New Roman"/>
          <w:b/>
          <w:bCs w:val="0"/>
          <w:i w:val="0"/>
          <w:iCs/>
          <w:kern w:val="0"/>
          <w:sz w:val="20"/>
          <w:szCs w:val="20"/>
          <w:lang w:val="en-US" w:eastAsia="en-US"/>
        </w:rPr>
        <w:t xml:space="preserve"> the PDSCH-to-HARQ_feedback timing indicator field to 4 or 5 bits</w:t>
      </w:r>
      <w:r>
        <w:rPr>
          <w:rFonts w:hint="eastAsia" w:ascii="Times New Roman" w:hAnsi="Times New Roman" w:cs="Times New Roman"/>
          <w:b/>
          <w:bCs w:val="0"/>
          <w:i w:val="0"/>
          <w:iCs/>
          <w:kern w:val="0"/>
          <w:sz w:val="20"/>
          <w:szCs w:val="20"/>
        </w:rPr>
        <w:t xml:space="preserve"> should be </w:t>
      </w:r>
      <w:r>
        <w:rPr>
          <w:rFonts w:ascii="Times New Roman" w:hAnsi="Times New Roman" w:cs="Times New Roman"/>
          <w:b/>
          <w:bCs w:val="0"/>
          <w:i w:val="0"/>
          <w:iCs/>
          <w:kern w:val="0"/>
          <w:sz w:val="20"/>
          <w:szCs w:val="20"/>
        </w:rPr>
        <w:t>supported</w:t>
      </w:r>
      <w:r>
        <w:rPr>
          <w:rFonts w:hint="eastAsia" w:ascii="Times New Roman" w:hAnsi="Times New Roman" w:cs="Times New Roman"/>
          <w:b/>
          <w:bCs w:val="0"/>
          <w:i w:val="0"/>
          <w:iCs/>
          <w:kern w:val="0"/>
          <w:sz w:val="20"/>
          <w:szCs w:val="20"/>
          <w:lang w:val="en-US" w:eastAsia="zh-CN"/>
        </w:rPr>
        <w:t>.</w:t>
      </w:r>
    </w:p>
    <w:p>
      <w:pPr>
        <w:widowControl w:val="0"/>
        <w:spacing w:line="260" w:lineRule="auto"/>
        <w:jc w:val="both"/>
        <w:rPr>
          <w:rFonts w:eastAsia="宋体"/>
          <w:b/>
          <w:bCs/>
          <w:lang w:val="en-US" w:eastAsia="zh-CN"/>
        </w:rPr>
      </w:pPr>
      <w:r>
        <w:rPr>
          <w:rFonts w:hint="eastAsia" w:eastAsia="宋体"/>
          <w:b/>
          <w:bCs/>
          <w:lang w:val="en-US" w:eastAsia="zh-CN"/>
        </w:rPr>
        <w:t>Proposal 8: F</w:t>
      </w:r>
      <w:r>
        <w:rPr>
          <w:rFonts w:hint="eastAsia" w:eastAsia="宋体"/>
          <w:b/>
          <w:bCs/>
          <w:lang w:val="en-US" w:eastAsia="ko-KR"/>
        </w:rPr>
        <w:t xml:space="preserve">or </w:t>
      </w:r>
      <w:r>
        <w:rPr>
          <w:rFonts w:eastAsia="宋体"/>
          <w:b/>
          <w:bCs/>
          <w:lang w:val="en-US" w:eastAsia="zh-CN"/>
        </w:rPr>
        <w:t>above 52.6GHz</w:t>
      </w:r>
      <w:r>
        <w:rPr>
          <w:rFonts w:hint="eastAsia" w:eastAsia="宋体"/>
          <w:b/>
          <w:bCs/>
          <w:lang w:val="en-US" w:eastAsia="zh-CN"/>
        </w:rPr>
        <w:t>, a new UE capability for t</w:t>
      </w:r>
      <w:r>
        <w:rPr>
          <w:rFonts w:hint="eastAsia" w:eastAsia="宋体"/>
          <w:b/>
          <w:bCs/>
          <w:lang w:val="en-US" w:eastAsia="ja-JP"/>
        </w:rPr>
        <w:t>imeline related aspects</w:t>
      </w:r>
      <w:r>
        <w:rPr>
          <w:rFonts w:hint="eastAsia" w:eastAsia="宋体"/>
          <w:b/>
          <w:bCs/>
          <w:lang w:val="en-US" w:eastAsia="zh-CN"/>
        </w:rPr>
        <w:t xml:space="preserve"> should be defined based on </w:t>
      </w:r>
      <w:r>
        <w:rPr>
          <w:rFonts w:hint="eastAsia" w:eastAsia="宋体"/>
          <w:b/>
          <w:bCs/>
          <w:lang w:eastAsia="ko-KR"/>
        </w:rPr>
        <w:t>slot</w:t>
      </w:r>
      <w:r>
        <w:rPr>
          <w:rFonts w:hint="eastAsia" w:eastAsia="宋体"/>
          <w:b/>
          <w:bCs/>
          <w:lang w:val="en-US" w:eastAsia="zh-CN"/>
        </w:rPr>
        <w:t xml:space="preserve"> </w:t>
      </w:r>
      <w:r>
        <w:rPr>
          <w:rFonts w:hint="eastAsia" w:eastAsia="宋体"/>
          <w:b/>
          <w:bCs/>
          <w:lang w:eastAsia="ko-KR"/>
        </w:rPr>
        <w:t>(or symbol)-group</w:t>
      </w:r>
      <w:r>
        <w:rPr>
          <w:rFonts w:hint="eastAsia" w:eastAsia="宋体"/>
          <w:b/>
          <w:bCs/>
          <w:lang w:val="en-US" w:eastAsia="zh-CN"/>
        </w:rPr>
        <w:t xml:space="preserve"> granularity.</w:t>
      </w:r>
    </w:p>
    <w:p>
      <w:pPr>
        <w:jc w:val="both"/>
        <w:rPr>
          <w:lang w:val="en-US" w:eastAsia="zh-CN"/>
        </w:rPr>
      </w:pPr>
      <w:r>
        <w:rPr>
          <w:rFonts w:hint="eastAsia" w:eastAsia="宋体"/>
          <w:b/>
          <w:bCs/>
          <w:lang w:val="en-US" w:eastAsia="zh-CN"/>
        </w:rPr>
        <w:t>Proposal 9: Consider the phase noise estimation and compensation time on timeline design when PTRS is configured.</w:t>
      </w:r>
    </w:p>
    <w:p>
      <w:pPr>
        <w:jc w:val="both"/>
        <w:rPr>
          <w:rFonts w:eastAsia="宋体"/>
          <w:b/>
          <w:bCs/>
          <w:lang w:val="en-US" w:eastAsia="zh-CN"/>
        </w:rPr>
      </w:pPr>
      <w:r>
        <w:rPr>
          <w:rFonts w:hint="eastAsia" w:eastAsia="宋体"/>
          <w:b/>
          <w:bCs/>
          <w:lang w:val="en-US" w:eastAsia="zh-CN"/>
        </w:rPr>
        <w:t>Proposal 10: The following methods can be considered to interpret k0, K1 and k2, and we prefer Method 1.</w:t>
      </w:r>
    </w:p>
    <w:p>
      <w:pPr>
        <w:numPr>
          <w:ilvl w:val="0"/>
          <w:numId w:val="25"/>
        </w:numPr>
        <w:jc w:val="both"/>
        <w:rPr>
          <w:rFonts w:eastAsia="宋体"/>
          <w:b/>
          <w:bCs/>
          <w:lang w:val="en-US" w:eastAsia="zh-CN"/>
        </w:rPr>
      </w:pPr>
      <w:r>
        <w:rPr>
          <w:rFonts w:hint="eastAsia" w:eastAsia="宋体"/>
          <w:b/>
          <w:bCs/>
          <w:lang w:val="en-US" w:eastAsia="zh-CN"/>
        </w:rPr>
        <w:t xml:space="preserve">Method 1: </w:t>
      </w:r>
      <w:r>
        <w:rPr>
          <w:rFonts w:eastAsia="宋体"/>
          <w:b/>
          <w:bCs/>
          <w:lang w:eastAsia="ko-KR"/>
        </w:rPr>
        <w:t xml:space="preserve">slot-group level </w:t>
      </w:r>
      <w:r>
        <w:rPr>
          <w:rFonts w:hint="eastAsia" w:eastAsia="宋体"/>
          <w:b/>
          <w:bCs/>
          <w:lang w:val="en-US" w:eastAsia="zh-CN"/>
        </w:rPr>
        <w:t>unit can be defined for the value of k0, K1 and k2, that is the value indicated in the DCI is not the slot offset but the slot group offset. One slot group can include M slots.</w:t>
      </w:r>
    </w:p>
    <w:p>
      <w:pPr>
        <w:numPr>
          <w:ilvl w:val="0"/>
          <w:numId w:val="25"/>
        </w:numPr>
        <w:jc w:val="both"/>
        <w:rPr>
          <w:rFonts w:eastAsia="宋体"/>
          <w:b/>
          <w:bCs/>
          <w:lang w:val="en-US" w:eastAsia="zh-CN"/>
        </w:rPr>
      </w:pPr>
      <w:r>
        <w:rPr>
          <w:rFonts w:hint="eastAsia" w:eastAsia="宋体"/>
          <w:b/>
          <w:bCs/>
          <w:lang w:val="en-US" w:eastAsia="zh-CN"/>
        </w:rPr>
        <w:t>Method 2: some new candidate values of k0, K1 and k2 should be defined considering the UE processing capability.</w:t>
      </w:r>
    </w:p>
    <w:p>
      <w:pPr>
        <w:jc w:val="both"/>
        <w:rPr>
          <w:lang w:val="en-US" w:eastAsia="zh-CN"/>
        </w:rPr>
      </w:pPr>
      <w:r>
        <w:rPr>
          <w:rFonts w:hint="eastAsia" w:eastAsia="宋体"/>
          <w:b/>
          <w:bCs/>
          <w:lang w:val="en-US" w:eastAsia="zh-CN"/>
        </w:rPr>
        <w:t>Method 3:  the value range of k0, K1 and k2 is not changed and the unit is still the slot, but the actually used k0, K1 and k2 is an offset of the indicated value in the DCI, and the offset value is different for different SCS.</w:t>
      </w:r>
    </w:p>
    <w:p>
      <w:pPr>
        <w:jc w:val="both"/>
        <w:rPr>
          <w:rFonts w:hint="eastAsia" w:eastAsia="宋体"/>
          <w:b/>
          <w:bCs/>
          <w:lang w:val="en-US" w:eastAsia="zh-CN"/>
        </w:rPr>
      </w:pPr>
      <w:r>
        <w:rPr>
          <w:rFonts w:hint="eastAsia"/>
          <w:b/>
          <w:bCs/>
          <w:lang w:val="en-US" w:eastAsia="zh-CN"/>
        </w:rPr>
        <w:t xml:space="preserve">Proposal 11: Do not </w:t>
      </w:r>
      <w:r>
        <w:rPr>
          <w:rFonts w:ascii="Times New Roman" w:hAnsi="Times New Roman"/>
          <w:b/>
          <w:bCs/>
          <w:sz w:val="22"/>
          <w:szCs w:val="22"/>
          <w:lang w:eastAsia="zh-CN"/>
        </w:rPr>
        <w:t>introduce K=1 for Rel-15 PTRS pattern for CP-OFDM with small (&lt; =32) RB allocation</w:t>
      </w:r>
      <w:r>
        <w:rPr>
          <w:rFonts w:hint="eastAsia" w:eastAsia="宋体"/>
          <w:b/>
          <w:bCs/>
          <w:lang w:val="en-US" w:eastAsia="zh-CN"/>
        </w:rPr>
        <w:t>.</w:t>
      </w:r>
    </w:p>
    <w:p>
      <w:pPr>
        <w:jc w:val="both"/>
        <w:rPr>
          <w:rFonts w:eastAsia="宋体"/>
          <w:b/>
          <w:bCs/>
          <w:lang w:val="en-US" w:eastAsia="zh-CN"/>
        </w:rPr>
      </w:pPr>
      <w:r>
        <w:rPr>
          <w:rFonts w:hint="eastAsia" w:eastAsia="宋体"/>
          <w:b/>
          <w:bCs/>
          <w:lang w:val="en-US" w:eastAsia="zh-CN"/>
        </w:rPr>
        <w:t xml:space="preserve">Proposal 12: </w:t>
      </w:r>
      <w:r>
        <w:rPr>
          <w:rFonts w:eastAsia="宋体"/>
          <w:b/>
          <w:bCs/>
          <w:lang w:val="en-US" w:eastAsia="zh-CN"/>
        </w:rPr>
        <w:t>Reuse</w:t>
      </w:r>
      <w:r>
        <w:rPr>
          <w:rFonts w:hint="eastAsia" w:eastAsia="宋体"/>
          <w:b/>
          <w:bCs/>
          <w:lang w:val="en-US" w:eastAsia="zh-CN"/>
        </w:rPr>
        <w:t xml:space="preserve"> the Rel-15 legacy PTRS pattern for 52.6GHz~71GHz.</w:t>
      </w:r>
    </w:p>
    <w:p>
      <w:pPr>
        <w:jc w:val="both"/>
        <w:rPr>
          <w:rFonts w:eastAsia="宋体"/>
          <w:b/>
          <w:bCs/>
          <w:lang w:val="en-US" w:eastAsia="zh-CN"/>
        </w:rPr>
      </w:pPr>
      <w:r>
        <w:rPr>
          <w:rFonts w:hint="eastAsia"/>
          <w:b/>
          <w:bCs/>
          <w:lang w:val="en-US" w:eastAsia="zh-CN"/>
        </w:rPr>
        <w:t>Proposal 13: Support to increase the number of PTRS groups for DFT-s-OFDM.</w:t>
      </w:r>
      <w:r>
        <w:rPr>
          <w:rFonts w:hint="eastAsia" w:eastAsia="宋体"/>
          <w:b/>
          <w:bCs/>
          <w:lang w:val="en-US" w:eastAsia="zh-CN"/>
        </w:rPr>
        <w:t>.</w:t>
      </w:r>
    </w:p>
    <w:p>
      <w:pPr>
        <w:jc w:val="both"/>
        <w:rPr>
          <w:rFonts w:hint="eastAsia"/>
          <w:b/>
          <w:bCs/>
          <w:lang w:val="en-US" w:eastAsia="zh-CN"/>
        </w:rPr>
      </w:pPr>
      <w:r>
        <w:rPr>
          <w:rFonts w:hint="eastAsia"/>
          <w:b/>
          <w:bCs/>
          <w:lang w:val="en-US" w:eastAsia="zh-CN"/>
        </w:rPr>
        <w:t xml:space="preserve">Proposal 14: Support to use the reserved bit of </w:t>
      </w:r>
      <w:r>
        <w:rPr>
          <w:rFonts w:ascii="Times New Roman" w:hAnsi="Times New Roman" w:eastAsia="MS PMincho"/>
          <w:b/>
          <w:bCs/>
          <w:szCs w:val="20"/>
          <w:lang w:eastAsia="ja-JP"/>
        </w:rPr>
        <w:t>antenna port(s) field in DCI</w:t>
      </w:r>
      <w:r>
        <w:rPr>
          <w:rFonts w:hint="eastAsia" w:eastAsia="宋体"/>
          <w:b/>
          <w:bCs/>
          <w:szCs w:val="20"/>
          <w:lang w:val="en-US" w:eastAsia="zh-CN"/>
        </w:rPr>
        <w:t xml:space="preserve"> </w:t>
      </w:r>
      <w:r>
        <w:rPr>
          <w:rFonts w:hint="eastAsia"/>
          <w:b/>
          <w:bCs/>
          <w:lang w:val="en-US" w:eastAsia="zh-CN"/>
        </w:rPr>
        <w:t>to indicate whether FD-OCC is applied for DMRS Type-1.</w:t>
      </w:r>
    </w:p>
    <w:p>
      <w:pPr>
        <w:jc w:val="both"/>
      </w:pPr>
      <w:r>
        <w:rPr>
          <w:rFonts w:hint="eastAsia"/>
          <w:b/>
          <w:bCs/>
          <w:lang w:val="en-US" w:eastAsia="zh-CN"/>
        </w:rPr>
        <w:t>Proposal 15: The DMRS configuration to disable FD-OCC is not applied to DMRS type-2.</w:t>
      </w:r>
    </w:p>
    <w:p>
      <w:pPr>
        <w:jc w:val="both"/>
        <w:rPr>
          <w:rFonts w:hint="eastAsia"/>
          <w:b/>
          <w:bCs/>
          <w:lang w:val="en-US" w:eastAsia="zh-CN"/>
        </w:rPr>
      </w:pPr>
      <w:r>
        <w:rPr>
          <w:rFonts w:hint="eastAsia"/>
          <w:b/>
          <w:bCs/>
          <w:lang w:val="en-US" w:eastAsia="zh-CN"/>
        </w:rPr>
        <w:t xml:space="preserve">Proposal 16: </w:t>
      </w:r>
      <w:r>
        <w:rPr>
          <w:rFonts w:hint="eastAsia" w:eastAsia="宋体"/>
          <w:b/>
          <w:bCs/>
          <w:szCs w:val="20"/>
          <w:lang w:val="en-US" w:eastAsia="zh-CN"/>
        </w:rPr>
        <w:t>If RRC configuration option is selected to indicate FD-OCC off, the corresponding RRC parameter may need to be defined.</w:t>
      </w:r>
    </w:p>
    <w:bookmarkEnd w:id="1"/>
    <w:bookmarkEnd w:id="2"/>
    <w:bookmarkEnd w:id="3"/>
    <w:bookmarkEnd w:id="4"/>
    <w:p>
      <w:pPr>
        <w:pStyle w:val="2"/>
        <w:spacing w:before="120" w:after="120" w:line="240" w:lineRule="auto"/>
        <w:jc w:val="both"/>
        <w:rPr>
          <w:rFonts w:eastAsia="宋体"/>
          <w:lang w:val="en-US" w:eastAsia="zh-CN"/>
        </w:rPr>
      </w:pPr>
      <w:r>
        <w:rPr>
          <w:rFonts w:hint="eastAsia" w:ascii="Times New Roman" w:hAnsi="Times New Roman" w:eastAsia="宋体"/>
          <w:b/>
          <w:sz w:val="32"/>
          <w:szCs w:val="32"/>
          <w:lang w:val="en-US" w:eastAsia="zh-CN"/>
        </w:rPr>
        <w:t xml:space="preserve"> Reference</w:t>
      </w:r>
      <w:bookmarkEnd w:id="0"/>
    </w:p>
    <w:p>
      <w:pPr>
        <w:numPr>
          <w:ilvl w:val="0"/>
          <w:numId w:val="26"/>
        </w:numPr>
        <w:snapToGrid w:val="0"/>
        <w:spacing w:before="120" w:beforeLines="50" w:after="120" w:afterLines="50" w:line="240" w:lineRule="auto"/>
        <w:jc w:val="both"/>
        <w:rPr>
          <w:rFonts w:eastAsia="宋体"/>
          <w:lang w:val="en-US" w:eastAsia="zh-CN"/>
        </w:rPr>
      </w:pPr>
      <w:r>
        <w:rPr>
          <w:rFonts w:hint="eastAsia" w:eastAsia="宋体"/>
          <w:lang w:val="en-US" w:eastAsia="zh-CN"/>
        </w:rPr>
        <w:t xml:space="preserve">   TS 38.213, NR; Physical layer procedures for control(Release 16)</w:t>
      </w:r>
    </w:p>
    <w:p>
      <w:pPr>
        <w:widowControl/>
        <w:numPr>
          <w:ilvl w:val="0"/>
          <w:numId w:val="26"/>
        </w:numPr>
        <w:snapToGrid w:val="0"/>
        <w:spacing w:before="120" w:beforeLines="50" w:after="120" w:afterLines="50" w:line="240" w:lineRule="auto"/>
        <w:jc w:val="both"/>
        <w:rPr>
          <w:rFonts w:eastAsia="宋体"/>
          <w:lang w:val="en-US" w:eastAsia="zh-CN"/>
        </w:rPr>
      </w:pPr>
      <w:r>
        <w:rPr>
          <w:rFonts w:hint="eastAsia" w:eastAsia="宋体"/>
          <w:lang w:val="en-US" w:eastAsia="zh-CN"/>
        </w:rPr>
        <w:t xml:space="preserve">   R1-2100201 </w:t>
      </w:r>
      <w:r>
        <w:rPr>
          <w:rFonts w:eastAsia="宋体"/>
          <w:lang w:val="en-US" w:eastAsia="zh-CN"/>
        </w:rPr>
        <w:t>PDSCH/PUSCH enhancements for 52-71GHz band</w:t>
      </w:r>
      <w:r>
        <w:rPr>
          <w:rFonts w:hint="eastAsia" w:eastAsia="宋体"/>
          <w:lang w:val="en-US" w:eastAsia="zh-CN"/>
        </w:rPr>
        <w:t>, Huawei, HiSilicon</w:t>
      </w:r>
    </w:p>
    <w:p>
      <w:pPr>
        <w:widowControl w:val="0"/>
        <w:numPr>
          <w:ilvl w:val="0"/>
          <w:numId w:val="26"/>
        </w:numPr>
        <w:snapToGrid w:val="0"/>
        <w:spacing w:before="120" w:beforeLines="50" w:after="120" w:afterLines="50" w:line="240" w:lineRule="auto"/>
        <w:jc w:val="both"/>
      </w:pPr>
      <w:r>
        <w:rPr>
          <w:rFonts w:hint="eastAsia" w:eastAsia="宋体"/>
          <w:lang w:val="en-US" w:eastAsia="zh-CN"/>
        </w:rPr>
        <w:t xml:space="preserve">   TS 38.214, NR; Physical layer procedures for data(Release 16)</w:t>
      </w:r>
    </w:p>
    <w:p>
      <w:pPr>
        <w:widowControl w:val="0"/>
        <w:numPr>
          <w:ilvl w:val="0"/>
          <w:numId w:val="26"/>
        </w:numPr>
        <w:snapToGrid w:val="0"/>
        <w:spacing w:before="120" w:beforeLines="50" w:after="120" w:afterLines="50" w:line="240" w:lineRule="auto"/>
        <w:jc w:val="both"/>
        <w:rPr>
          <w:rFonts w:eastAsia="宋体"/>
          <w:lang w:eastAsia="zh-CN"/>
        </w:rPr>
      </w:pPr>
      <w:r>
        <w:rPr>
          <w:rFonts w:hint="eastAsia" w:eastAsia="宋体"/>
          <w:lang w:val="en-US" w:eastAsia="zh-CN"/>
        </w:rPr>
        <w:t xml:space="preserve">   </w:t>
      </w:r>
      <w:r>
        <w:rPr>
          <w:rFonts w:hint="eastAsia" w:eastAsia="宋体"/>
          <w:lang w:eastAsia="zh-CN"/>
        </w:rPr>
        <w:t>TS 38.21</w:t>
      </w:r>
      <w:r>
        <w:rPr>
          <w:rFonts w:hint="eastAsia" w:eastAsia="宋体"/>
          <w:lang w:val="en-US" w:eastAsia="zh-CN"/>
        </w:rPr>
        <w:t>2</w:t>
      </w:r>
      <w:r>
        <w:rPr>
          <w:rFonts w:hint="eastAsia" w:eastAsia="宋体"/>
          <w:lang w:eastAsia="zh-CN"/>
        </w:rPr>
        <w:t>,</w:t>
      </w:r>
      <w:r>
        <w:rPr>
          <w:rFonts w:hint="eastAsia" w:eastAsia="宋体"/>
          <w:lang w:val="en-US" w:eastAsia="zh-CN"/>
        </w:rPr>
        <w:t xml:space="preserve"> NR;</w:t>
      </w:r>
      <w:r>
        <w:rPr>
          <w:rFonts w:hint="eastAsia" w:eastAsia="宋体"/>
          <w:lang w:eastAsia="zh-CN"/>
        </w:rPr>
        <w:t xml:space="preserve"> </w:t>
      </w:r>
      <w:r>
        <w:t>Multiplexing and channel coding</w:t>
      </w:r>
      <w:r>
        <w:rPr>
          <w:rFonts w:hint="eastAsia" w:eastAsia="宋体"/>
          <w:lang w:val="en-US" w:eastAsia="zh-CN"/>
        </w:rPr>
        <w:t>(Release 16)</w:t>
      </w:r>
    </w:p>
    <w:p>
      <w:pPr>
        <w:pStyle w:val="2"/>
        <w:numPr>
          <w:ilvl w:val="0"/>
          <w:numId w:val="0"/>
        </w:numPr>
        <w:rPr>
          <w:lang w:val="en-US" w:eastAsia="zh-CN"/>
        </w:rPr>
      </w:pPr>
      <w:r>
        <w:rPr>
          <w:rFonts w:hint="eastAsia"/>
          <w:lang w:val="en-US" w:eastAsia="zh-CN"/>
        </w:rPr>
        <w:t xml:space="preserve"> Appendix</w:t>
      </w:r>
    </w:p>
    <w:p>
      <w:pPr>
        <w:pStyle w:val="3"/>
        <w:numPr>
          <w:ilvl w:val="1"/>
          <w:numId w:val="0"/>
        </w:numPr>
        <w:rPr>
          <w:lang w:val="en-US" w:eastAsia="zh-CN"/>
        </w:rPr>
      </w:pPr>
      <w:r>
        <w:rPr>
          <w:rFonts w:hint="eastAsia"/>
          <w:lang w:val="en-US" w:eastAsia="zh-CN"/>
        </w:rPr>
        <w:t>A1. Numerical results</w:t>
      </w:r>
    </w:p>
    <w:p>
      <w:pPr>
        <w:pStyle w:val="4"/>
        <w:numPr>
          <w:ilvl w:val="2"/>
          <w:numId w:val="0"/>
        </w:numPr>
        <w:rPr>
          <w:lang w:val="en-US" w:eastAsia="zh-CN"/>
        </w:rPr>
      </w:pPr>
      <w:r>
        <w:rPr>
          <w:rFonts w:hint="eastAsia"/>
          <w:lang w:val="en-US" w:eastAsia="zh-CN"/>
        </w:rPr>
        <w:t>A1-1. Block PTRS with different taps</w:t>
      </w:r>
    </w:p>
    <w:p>
      <w:pPr>
        <w:numPr>
          <w:ilvl w:val="255"/>
          <w:numId w:val="0"/>
        </w:numPr>
        <w:jc w:val="center"/>
        <w:rPr>
          <w:lang w:val="en-US" w:eastAsia="zh-CN"/>
        </w:rPr>
      </w:pPr>
      <w:r>
        <w:rPr>
          <w:rFonts w:hint="eastAsia"/>
          <w:lang w:val="en-US" w:eastAsia="zh-CN"/>
        </w:rPr>
        <w:t xml:space="preserve">Table A1-1 </w:t>
      </w:r>
      <w:r>
        <w:t>SINR in dB achieving PDSCH BLER of 10%</w:t>
      </w:r>
    </w:p>
    <w:tbl>
      <w:tblPr>
        <w:tblStyle w:val="26"/>
        <w:tblW w:w="43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5"/>
        <w:gridCol w:w="1318"/>
        <w:gridCol w:w="12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5" w:type="dxa"/>
          </w:tcPr>
          <w:p>
            <w:pPr>
              <w:numPr>
                <w:ilvl w:val="255"/>
                <w:numId w:val="0"/>
              </w:numPr>
              <w:jc w:val="center"/>
              <w:rPr>
                <w:lang w:val="en-US" w:eastAsia="zh-CN"/>
              </w:rPr>
            </w:pPr>
          </w:p>
        </w:tc>
        <w:tc>
          <w:tcPr>
            <w:tcW w:w="1318" w:type="dxa"/>
          </w:tcPr>
          <w:p>
            <w:pPr>
              <w:numPr>
                <w:ilvl w:val="255"/>
                <w:numId w:val="0"/>
              </w:numPr>
              <w:jc w:val="center"/>
              <w:rPr>
                <w:lang w:val="en-US" w:eastAsia="zh-CN"/>
              </w:rPr>
            </w:pPr>
            <w:r>
              <w:rPr>
                <w:lang w:val="en-US" w:eastAsia="zh-CN"/>
              </w:rPr>
              <w:t>120kHz</w:t>
            </w:r>
          </w:p>
        </w:tc>
        <w:tc>
          <w:tcPr>
            <w:tcW w:w="1200" w:type="dxa"/>
          </w:tcPr>
          <w:p>
            <w:pPr>
              <w:numPr>
                <w:ilvl w:val="255"/>
                <w:numId w:val="0"/>
              </w:numPr>
              <w:jc w:val="center"/>
              <w:rPr>
                <w:lang w:val="en-US" w:eastAsia="zh-CN"/>
              </w:rPr>
            </w:pPr>
            <w:r>
              <w:rPr>
                <w:lang w:val="en-US" w:eastAsia="zh-CN"/>
              </w:rPr>
              <w:t>480kHz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5" w:type="dxa"/>
          </w:tcPr>
          <w:p>
            <w:pPr>
              <w:numPr>
                <w:ilvl w:val="255"/>
                <w:numId w:val="0"/>
              </w:numPr>
              <w:jc w:val="center"/>
              <w:rPr>
                <w:lang w:val="en-US" w:eastAsia="zh-CN"/>
              </w:rPr>
            </w:pPr>
            <w:r>
              <w:rPr>
                <w:lang w:val="en-US" w:eastAsia="zh-CN"/>
              </w:rPr>
              <w:t>3-tap 4 blocks</w:t>
            </w:r>
          </w:p>
        </w:tc>
        <w:tc>
          <w:tcPr>
            <w:tcW w:w="1318" w:type="dxa"/>
          </w:tcPr>
          <w:p>
            <w:pPr>
              <w:numPr>
                <w:ilvl w:val="255"/>
                <w:numId w:val="0"/>
              </w:numPr>
              <w:jc w:val="center"/>
              <w:rPr>
                <w:lang w:val="en-US" w:eastAsia="zh-CN"/>
              </w:rPr>
            </w:pPr>
            <w:r>
              <w:rPr>
                <w:lang w:val="en-US" w:eastAsia="zh-CN"/>
              </w:rPr>
              <w:t>16.9</w:t>
            </w:r>
          </w:p>
        </w:tc>
        <w:tc>
          <w:tcPr>
            <w:tcW w:w="1200" w:type="dxa"/>
          </w:tcPr>
          <w:p>
            <w:pPr>
              <w:numPr>
                <w:ilvl w:val="255"/>
                <w:numId w:val="0"/>
              </w:numPr>
              <w:jc w:val="center"/>
              <w:rPr>
                <w:lang w:val="en-US" w:eastAsia="zh-CN"/>
              </w:rPr>
            </w:pPr>
            <w:r>
              <w:rPr>
                <w:lang w:val="en-US" w:eastAsia="zh-CN"/>
              </w:rPr>
              <w:t>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5" w:type="dxa"/>
          </w:tcPr>
          <w:p>
            <w:pPr>
              <w:numPr>
                <w:ilvl w:val="255"/>
                <w:numId w:val="0"/>
              </w:numPr>
              <w:jc w:val="center"/>
              <w:rPr>
                <w:lang w:val="en-US" w:eastAsia="zh-CN"/>
              </w:rPr>
            </w:pPr>
            <w:r>
              <w:rPr>
                <w:lang w:val="en-US" w:eastAsia="zh-CN"/>
              </w:rPr>
              <w:t>5-tap 4 blocks</w:t>
            </w:r>
          </w:p>
        </w:tc>
        <w:tc>
          <w:tcPr>
            <w:tcW w:w="1318" w:type="dxa"/>
          </w:tcPr>
          <w:p>
            <w:pPr>
              <w:numPr>
                <w:ilvl w:val="255"/>
                <w:numId w:val="0"/>
              </w:numPr>
              <w:jc w:val="center"/>
              <w:rPr>
                <w:lang w:val="en-US" w:eastAsia="zh-CN"/>
              </w:rPr>
            </w:pPr>
            <w:r>
              <w:rPr>
                <w:lang w:val="en-US" w:eastAsia="zh-CN"/>
              </w:rPr>
              <w:t>16.8</w:t>
            </w:r>
          </w:p>
        </w:tc>
        <w:tc>
          <w:tcPr>
            <w:tcW w:w="1200" w:type="dxa"/>
          </w:tcPr>
          <w:p>
            <w:pPr>
              <w:numPr>
                <w:ilvl w:val="255"/>
                <w:numId w:val="0"/>
              </w:numPr>
              <w:jc w:val="center"/>
              <w:rPr>
                <w:lang w:val="en-US" w:eastAsia="zh-CN"/>
              </w:rPr>
            </w:pPr>
            <w:r>
              <w:rPr>
                <w:lang w:val="en-US" w:eastAsia="zh-CN"/>
              </w:rPr>
              <w:t>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5" w:type="dxa"/>
          </w:tcPr>
          <w:p>
            <w:pPr>
              <w:numPr>
                <w:ilvl w:val="255"/>
                <w:numId w:val="0"/>
              </w:numPr>
              <w:jc w:val="center"/>
              <w:rPr>
                <w:lang w:val="en-US" w:eastAsia="zh-CN"/>
              </w:rPr>
            </w:pPr>
            <w:r>
              <w:rPr>
                <w:lang w:val="en-US" w:eastAsia="zh-CN"/>
              </w:rPr>
              <w:t>7-tap 4 blocks</w:t>
            </w:r>
          </w:p>
        </w:tc>
        <w:tc>
          <w:tcPr>
            <w:tcW w:w="1318" w:type="dxa"/>
          </w:tcPr>
          <w:p>
            <w:pPr>
              <w:numPr>
                <w:ilvl w:val="255"/>
                <w:numId w:val="0"/>
              </w:numPr>
              <w:jc w:val="center"/>
              <w:rPr>
                <w:lang w:val="en-US" w:eastAsia="zh-CN"/>
              </w:rPr>
            </w:pPr>
            <w:r>
              <w:rPr>
                <w:lang w:val="en-US" w:eastAsia="zh-CN"/>
              </w:rPr>
              <w:t>17.0</w:t>
            </w:r>
          </w:p>
        </w:tc>
        <w:tc>
          <w:tcPr>
            <w:tcW w:w="1200" w:type="dxa"/>
          </w:tcPr>
          <w:p>
            <w:pPr>
              <w:numPr>
                <w:ilvl w:val="255"/>
                <w:numId w:val="0"/>
              </w:numPr>
              <w:jc w:val="center"/>
              <w:rPr>
                <w:lang w:val="en-US" w:eastAsia="zh-CN"/>
              </w:rPr>
            </w:pPr>
            <w:r>
              <w:rPr>
                <w:lang w:val="en-US" w:eastAsia="zh-CN"/>
              </w:rPr>
              <w:t>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5" w:type="dxa"/>
          </w:tcPr>
          <w:p>
            <w:pPr>
              <w:numPr>
                <w:ilvl w:val="255"/>
                <w:numId w:val="0"/>
              </w:numPr>
              <w:jc w:val="center"/>
              <w:rPr>
                <w:lang w:val="en-US" w:eastAsia="zh-CN"/>
              </w:rPr>
            </w:pPr>
            <w:r>
              <w:rPr>
                <w:lang w:val="en-US" w:eastAsia="zh-CN"/>
              </w:rPr>
              <w:t>9-tap 4 blocks</w:t>
            </w:r>
          </w:p>
        </w:tc>
        <w:tc>
          <w:tcPr>
            <w:tcW w:w="1318" w:type="dxa"/>
          </w:tcPr>
          <w:p>
            <w:pPr>
              <w:numPr>
                <w:ilvl w:val="255"/>
                <w:numId w:val="0"/>
              </w:numPr>
              <w:jc w:val="center"/>
              <w:rPr>
                <w:lang w:val="en-US" w:eastAsia="zh-CN"/>
              </w:rPr>
            </w:pPr>
            <w:r>
              <w:rPr>
                <w:lang w:val="en-US" w:eastAsia="zh-CN"/>
              </w:rPr>
              <w:t>17.3</w:t>
            </w:r>
          </w:p>
        </w:tc>
        <w:tc>
          <w:tcPr>
            <w:tcW w:w="1200" w:type="dxa"/>
          </w:tcPr>
          <w:p>
            <w:pPr>
              <w:numPr>
                <w:ilvl w:val="255"/>
                <w:numId w:val="0"/>
              </w:numPr>
              <w:jc w:val="center"/>
              <w:rPr>
                <w:lang w:val="en-US" w:eastAsia="zh-CN"/>
              </w:rPr>
            </w:pPr>
            <w:r>
              <w:rPr>
                <w:lang w:val="en-US" w:eastAsia="zh-CN"/>
              </w:rPr>
              <w:t>16.0</w:t>
            </w:r>
          </w:p>
        </w:tc>
      </w:tr>
    </w:tbl>
    <w:p>
      <w:pPr>
        <w:numPr>
          <w:ilvl w:val="255"/>
          <w:numId w:val="0"/>
        </w:numPr>
        <w:rPr>
          <w:lang w:val="en-US" w:eastAsia="zh-CN"/>
        </w:rPr>
      </w:pPr>
    </w:p>
    <w:p>
      <w:pPr>
        <w:pStyle w:val="4"/>
        <w:numPr>
          <w:ilvl w:val="2"/>
          <w:numId w:val="0"/>
        </w:numPr>
        <w:rPr>
          <w:lang w:val="en-US" w:eastAsia="zh-CN"/>
        </w:rPr>
      </w:pPr>
      <w:r>
        <w:rPr>
          <w:rFonts w:hint="eastAsia"/>
          <w:lang w:val="en-US" w:eastAsia="zh-CN"/>
        </w:rPr>
        <w:t>A1-2. Block PTRS with different blocks</w:t>
      </w:r>
    </w:p>
    <w:p>
      <w:pPr>
        <w:numPr>
          <w:ilvl w:val="255"/>
          <w:numId w:val="0"/>
        </w:numPr>
        <w:jc w:val="center"/>
        <w:rPr>
          <w:lang w:val="en-US" w:eastAsia="zh-CN"/>
        </w:rPr>
      </w:pPr>
      <w:r>
        <w:rPr>
          <w:rFonts w:hint="eastAsia"/>
          <w:lang w:val="en-US" w:eastAsia="zh-CN"/>
        </w:rPr>
        <w:t xml:space="preserve">Table A1-2 </w:t>
      </w:r>
      <w:r>
        <w:t>SINR in dB achieving PDSCH BLER of 10%</w:t>
      </w:r>
    </w:p>
    <w:tbl>
      <w:tblPr>
        <w:tblStyle w:val="26"/>
        <w:tblW w:w="43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5"/>
        <w:gridCol w:w="1326"/>
        <w:gridCol w:w="12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5" w:type="dxa"/>
          </w:tcPr>
          <w:p>
            <w:pPr>
              <w:numPr>
                <w:ilvl w:val="255"/>
                <w:numId w:val="0"/>
              </w:numPr>
              <w:jc w:val="center"/>
              <w:rPr>
                <w:lang w:val="en-US" w:eastAsia="zh-CN"/>
              </w:rPr>
            </w:pPr>
          </w:p>
        </w:tc>
        <w:tc>
          <w:tcPr>
            <w:tcW w:w="1326" w:type="dxa"/>
          </w:tcPr>
          <w:p>
            <w:pPr>
              <w:numPr>
                <w:ilvl w:val="255"/>
                <w:numId w:val="0"/>
              </w:numPr>
              <w:jc w:val="center"/>
              <w:rPr>
                <w:lang w:val="en-US" w:eastAsia="zh-CN"/>
              </w:rPr>
            </w:pPr>
            <w:r>
              <w:rPr>
                <w:rFonts w:hint="eastAsia"/>
              </w:rPr>
              <w:t>120kHz</w:t>
            </w:r>
          </w:p>
        </w:tc>
        <w:tc>
          <w:tcPr>
            <w:tcW w:w="1208" w:type="dxa"/>
          </w:tcPr>
          <w:p>
            <w:pPr>
              <w:numPr>
                <w:ilvl w:val="255"/>
                <w:numId w:val="0"/>
              </w:numPr>
              <w:jc w:val="center"/>
              <w:rPr>
                <w:lang w:val="en-US" w:eastAsia="zh-CN"/>
              </w:rPr>
            </w:pPr>
            <w:r>
              <w:rPr>
                <w:rFonts w:hint="eastAsia"/>
              </w:rPr>
              <w:t>480kHz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5" w:type="dxa"/>
          </w:tcPr>
          <w:p>
            <w:pPr>
              <w:numPr>
                <w:ilvl w:val="255"/>
                <w:numId w:val="0"/>
              </w:numPr>
              <w:jc w:val="center"/>
              <w:rPr>
                <w:lang w:val="en-US" w:eastAsia="zh-CN"/>
              </w:rPr>
            </w:pPr>
            <w:r>
              <w:rPr>
                <w:rFonts w:hint="eastAsia"/>
              </w:rPr>
              <w:t>5-tap 1 blocks</w:t>
            </w:r>
          </w:p>
        </w:tc>
        <w:tc>
          <w:tcPr>
            <w:tcW w:w="1326" w:type="dxa"/>
          </w:tcPr>
          <w:p>
            <w:pPr>
              <w:numPr>
                <w:ilvl w:val="255"/>
                <w:numId w:val="0"/>
              </w:numPr>
              <w:jc w:val="center"/>
              <w:rPr>
                <w:lang w:val="en-US" w:eastAsia="zh-CN"/>
              </w:rPr>
            </w:pPr>
            <w:r>
              <w:rPr>
                <w:rFonts w:hint="eastAsia"/>
              </w:rPr>
              <w:t>16.8</w:t>
            </w:r>
          </w:p>
        </w:tc>
        <w:tc>
          <w:tcPr>
            <w:tcW w:w="1208" w:type="dxa"/>
          </w:tcPr>
          <w:p>
            <w:pPr>
              <w:numPr>
                <w:ilvl w:val="255"/>
                <w:numId w:val="0"/>
              </w:numPr>
              <w:jc w:val="center"/>
              <w:rPr>
                <w:lang w:val="en-US" w:eastAsia="zh-CN"/>
              </w:rPr>
            </w:pPr>
            <w:r>
              <w:rPr>
                <w:rFonts w:hint="eastAsia"/>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5" w:type="dxa"/>
          </w:tcPr>
          <w:p>
            <w:pPr>
              <w:numPr>
                <w:ilvl w:val="255"/>
                <w:numId w:val="0"/>
              </w:numPr>
              <w:jc w:val="center"/>
              <w:rPr>
                <w:lang w:val="en-US" w:eastAsia="zh-CN"/>
              </w:rPr>
            </w:pPr>
            <w:r>
              <w:rPr>
                <w:rFonts w:hint="eastAsia"/>
              </w:rPr>
              <w:t>5-tap 2 block</w:t>
            </w:r>
          </w:p>
        </w:tc>
        <w:tc>
          <w:tcPr>
            <w:tcW w:w="1326" w:type="dxa"/>
          </w:tcPr>
          <w:p>
            <w:pPr>
              <w:numPr>
                <w:ilvl w:val="255"/>
                <w:numId w:val="0"/>
              </w:numPr>
              <w:jc w:val="center"/>
              <w:rPr>
                <w:lang w:val="en-US" w:eastAsia="zh-CN"/>
              </w:rPr>
            </w:pPr>
            <w:r>
              <w:rPr>
                <w:rFonts w:hint="eastAsia"/>
              </w:rPr>
              <w:t>16.8</w:t>
            </w:r>
          </w:p>
        </w:tc>
        <w:tc>
          <w:tcPr>
            <w:tcW w:w="1208" w:type="dxa"/>
          </w:tcPr>
          <w:p>
            <w:pPr>
              <w:numPr>
                <w:ilvl w:val="255"/>
                <w:numId w:val="0"/>
              </w:numPr>
              <w:jc w:val="center"/>
              <w:rPr>
                <w:lang w:val="en-US" w:eastAsia="zh-CN"/>
              </w:rPr>
            </w:pPr>
            <w:r>
              <w:rPr>
                <w:rFonts w:hint="eastAsia"/>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5" w:type="dxa"/>
          </w:tcPr>
          <w:p>
            <w:pPr>
              <w:numPr>
                <w:ilvl w:val="255"/>
                <w:numId w:val="0"/>
              </w:numPr>
              <w:jc w:val="center"/>
              <w:rPr>
                <w:lang w:val="en-US" w:eastAsia="zh-CN"/>
              </w:rPr>
            </w:pPr>
            <w:r>
              <w:rPr>
                <w:rFonts w:hint="eastAsia"/>
              </w:rPr>
              <w:t>5-tap 4 blocks</w:t>
            </w:r>
          </w:p>
        </w:tc>
        <w:tc>
          <w:tcPr>
            <w:tcW w:w="1326" w:type="dxa"/>
          </w:tcPr>
          <w:p>
            <w:pPr>
              <w:numPr>
                <w:ilvl w:val="255"/>
                <w:numId w:val="0"/>
              </w:numPr>
              <w:jc w:val="center"/>
              <w:rPr>
                <w:lang w:val="en-US" w:eastAsia="zh-CN"/>
              </w:rPr>
            </w:pPr>
            <w:r>
              <w:rPr>
                <w:rFonts w:hint="eastAsia"/>
              </w:rPr>
              <w:t>16.8</w:t>
            </w:r>
          </w:p>
        </w:tc>
        <w:tc>
          <w:tcPr>
            <w:tcW w:w="1208" w:type="dxa"/>
          </w:tcPr>
          <w:p>
            <w:pPr>
              <w:numPr>
                <w:ilvl w:val="255"/>
                <w:numId w:val="0"/>
              </w:numPr>
              <w:jc w:val="center"/>
              <w:rPr>
                <w:lang w:val="en-US" w:eastAsia="zh-CN"/>
              </w:rPr>
            </w:pPr>
            <w:r>
              <w:rPr>
                <w:rFonts w:hint="eastAsia"/>
              </w:rPr>
              <w:t>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5" w:type="dxa"/>
          </w:tcPr>
          <w:p>
            <w:pPr>
              <w:numPr>
                <w:ilvl w:val="255"/>
                <w:numId w:val="0"/>
              </w:numPr>
              <w:jc w:val="center"/>
              <w:rPr>
                <w:lang w:val="en-US" w:eastAsia="zh-CN"/>
              </w:rPr>
            </w:pPr>
            <w:r>
              <w:rPr>
                <w:rFonts w:hint="eastAsia"/>
              </w:rPr>
              <w:t>5-tap 8 blocks</w:t>
            </w:r>
          </w:p>
        </w:tc>
        <w:tc>
          <w:tcPr>
            <w:tcW w:w="1326" w:type="dxa"/>
          </w:tcPr>
          <w:p>
            <w:pPr>
              <w:numPr>
                <w:ilvl w:val="255"/>
                <w:numId w:val="0"/>
              </w:numPr>
              <w:jc w:val="center"/>
              <w:rPr>
                <w:lang w:val="en-US" w:eastAsia="zh-CN"/>
              </w:rPr>
            </w:pPr>
            <w:r>
              <w:rPr>
                <w:rFonts w:hint="eastAsia"/>
              </w:rPr>
              <w:t>17.9</w:t>
            </w:r>
          </w:p>
        </w:tc>
        <w:tc>
          <w:tcPr>
            <w:tcW w:w="1208" w:type="dxa"/>
          </w:tcPr>
          <w:p>
            <w:pPr>
              <w:numPr>
                <w:ilvl w:val="255"/>
                <w:numId w:val="0"/>
              </w:numPr>
              <w:jc w:val="center"/>
              <w:rPr>
                <w:lang w:val="en-US" w:eastAsia="zh-CN"/>
              </w:rPr>
            </w:pPr>
            <w:r>
              <w:rPr>
                <w:rFonts w:hint="eastAsia"/>
              </w:rPr>
              <w:t>16.1</w:t>
            </w:r>
          </w:p>
        </w:tc>
      </w:tr>
    </w:tbl>
    <w:p>
      <w:pPr>
        <w:pStyle w:val="4"/>
        <w:numPr>
          <w:ilvl w:val="2"/>
          <w:numId w:val="0"/>
        </w:numPr>
        <w:rPr>
          <w:lang w:val="en-US" w:eastAsia="zh-CN"/>
        </w:rPr>
      </w:pPr>
      <w:r>
        <w:rPr>
          <w:rFonts w:hint="eastAsia"/>
          <w:lang w:val="en-US" w:eastAsia="zh-CN"/>
        </w:rPr>
        <w:t>A1-3. Legacy PTRS with different taps</w:t>
      </w:r>
    </w:p>
    <w:p>
      <w:pPr>
        <w:numPr>
          <w:ilvl w:val="255"/>
          <w:numId w:val="0"/>
        </w:numPr>
        <w:jc w:val="center"/>
        <w:rPr>
          <w:lang w:val="en-US" w:eastAsia="zh-CN"/>
        </w:rPr>
      </w:pPr>
      <w:r>
        <w:rPr>
          <w:rFonts w:hint="eastAsia"/>
          <w:lang w:val="en-US" w:eastAsia="zh-CN"/>
        </w:rPr>
        <w:t xml:space="preserve">Table A1-3 </w:t>
      </w:r>
      <w:r>
        <w:t>SINR in dB achieving PDSCH BLER of 10%</w:t>
      </w:r>
    </w:p>
    <w:tbl>
      <w:tblPr>
        <w:tblStyle w:val="26"/>
        <w:tblW w:w="43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3"/>
        <w:gridCol w:w="1310"/>
        <w:gridCol w:w="1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3"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p>
        </w:tc>
        <w:tc>
          <w:tcPr>
            <w:tcW w:w="1310"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r>
              <w:rPr>
                <w:rFonts w:hint="eastAsia"/>
              </w:rPr>
              <w:t>120kHz</w:t>
            </w:r>
          </w:p>
        </w:tc>
        <w:tc>
          <w:tcPr>
            <w:tcW w:w="1216"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r>
              <w:rPr>
                <w:rFonts w:hint="eastAsia"/>
              </w:rPr>
              <w:t>480kHz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3"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r>
              <w:rPr>
                <w:rFonts w:hint="eastAsia"/>
              </w:rPr>
              <w:t>3-tap</w:t>
            </w:r>
          </w:p>
        </w:tc>
        <w:tc>
          <w:tcPr>
            <w:tcW w:w="1310" w:type="dxa"/>
          </w:tcPr>
          <w:p>
            <w:pPr>
              <w:widowControl w:val="0"/>
              <w:numPr>
                <w:ilvl w:val="255"/>
                <w:numId w:val="0"/>
              </w:numPr>
              <w:autoSpaceDE w:val="0"/>
              <w:autoSpaceDN w:val="0"/>
              <w:adjustRightInd w:val="0"/>
              <w:spacing w:before="120" w:beforeLines="50" w:after="120" w:afterLines="50" w:line="240" w:lineRule="auto"/>
              <w:jc w:val="center"/>
              <w:rPr>
                <w:rFonts w:eastAsia="宋体"/>
                <w:lang w:val="en-US" w:eastAsia="zh-CN"/>
              </w:rPr>
            </w:pPr>
            <w:r>
              <w:rPr>
                <w:rFonts w:hint="eastAsia"/>
              </w:rPr>
              <w:t>16.</w:t>
            </w:r>
            <w:r>
              <w:rPr>
                <w:rFonts w:hint="eastAsia" w:eastAsia="宋体"/>
                <w:lang w:val="en-US" w:eastAsia="zh-CN"/>
              </w:rPr>
              <w:t>6</w:t>
            </w:r>
          </w:p>
        </w:tc>
        <w:tc>
          <w:tcPr>
            <w:tcW w:w="1216"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r>
              <w:rPr>
                <w:rFonts w:hint="eastAsia"/>
              </w:rPr>
              <w:t>15.4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3"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r>
              <w:rPr>
                <w:rFonts w:hint="eastAsia"/>
              </w:rPr>
              <w:t>5-tap</w:t>
            </w:r>
          </w:p>
        </w:tc>
        <w:tc>
          <w:tcPr>
            <w:tcW w:w="1310"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r>
              <w:rPr>
                <w:rFonts w:hint="eastAsia"/>
              </w:rPr>
              <w:t>16.7</w:t>
            </w:r>
          </w:p>
        </w:tc>
        <w:tc>
          <w:tcPr>
            <w:tcW w:w="1216"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r>
              <w:rPr>
                <w:rFonts w:hint="eastAsia"/>
              </w:rPr>
              <w:t>15.3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3"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r>
              <w:rPr>
                <w:rFonts w:hint="eastAsia"/>
              </w:rPr>
              <w:t>7-tap</w:t>
            </w:r>
          </w:p>
        </w:tc>
        <w:tc>
          <w:tcPr>
            <w:tcW w:w="1310"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r>
              <w:rPr>
                <w:rFonts w:hint="eastAsia"/>
              </w:rPr>
              <w:t>16.3</w:t>
            </w:r>
          </w:p>
        </w:tc>
        <w:tc>
          <w:tcPr>
            <w:tcW w:w="1216"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r>
              <w:rPr>
                <w:rFonts w:hint="eastAsia"/>
              </w:rPr>
              <w:t>15.3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3"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r>
              <w:rPr>
                <w:rFonts w:hint="eastAsia"/>
              </w:rPr>
              <w:t>9-tap</w:t>
            </w:r>
          </w:p>
        </w:tc>
        <w:tc>
          <w:tcPr>
            <w:tcW w:w="1310"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r>
              <w:rPr>
                <w:rFonts w:hint="eastAsia"/>
              </w:rPr>
              <w:t>16.5</w:t>
            </w:r>
          </w:p>
        </w:tc>
        <w:tc>
          <w:tcPr>
            <w:tcW w:w="1216" w:type="dxa"/>
          </w:tcPr>
          <w:p>
            <w:pPr>
              <w:widowControl w:val="0"/>
              <w:numPr>
                <w:ilvl w:val="255"/>
                <w:numId w:val="0"/>
              </w:numPr>
              <w:autoSpaceDE w:val="0"/>
              <w:autoSpaceDN w:val="0"/>
              <w:adjustRightInd w:val="0"/>
              <w:spacing w:before="120" w:beforeLines="50" w:after="120" w:afterLines="50" w:line="240" w:lineRule="auto"/>
              <w:jc w:val="center"/>
              <w:rPr>
                <w:lang w:val="en-US" w:eastAsia="zh-CN"/>
              </w:rPr>
            </w:pPr>
            <w:r>
              <w:rPr>
                <w:rFonts w:hint="eastAsia"/>
              </w:rPr>
              <w:t>15.4</w:t>
            </w:r>
          </w:p>
        </w:tc>
      </w:tr>
    </w:tbl>
    <w:p>
      <w:pPr>
        <w:pStyle w:val="4"/>
        <w:numPr>
          <w:ilvl w:val="2"/>
          <w:numId w:val="0"/>
        </w:numPr>
        <w:rPr>
          <w:lang w:val="en-US" w:eastAsia="zh-CN"/>
        </w:rPr>
      </w:pPr>
      <w:r>
        <w:rPr>
          <w:rFonts w:hint="eastAsia"/>
          <w:lang w:val="en-US" w:eastAsia="zh-CN"/>
        </w:rPr>
        <w:t>A1-4. Block PTRS vs Legacy PTRS with power boosting</w:t>
      </w:r>
    </w:p>
    <w:p>
      <w:pPr>
        <w:numPr>
          <w:ilvl w:val="255"/>
          <w:numId w:val="0"/>
        </w:numPr>
        <w:jc w:val="center"/>
        <w:rPr>
          <w:lang w:val="en-US" w:eastAsia="zh-CN"/>
        </w:rPr>
      </w:pPr>
      <w:r>
        <w:rPr>
          <w:rFonts w:hint="eastAsia"/>
          <w:lang w:val="en-US" w:eastAsia="zh-CN"/>
        </w:rPr>
        <w:t xml:space="preserve">Table A1-4 </w:t>
      </w:r>
      <w:r>
        <w:t>SINR in dB achieving PDSCH BLER of 10%</w:t>
      </w:r>
    </w:p>
    <w:tbl>
      <w:tblPr>
        <w:tblStyle w:val="26"/>
        <w:tblW w:w="48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74"/>
        <w:gridCol w:w="1318"/>
        <w:gridCol w:w="13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74" w:type="dxa"/>
          </w:tcPr>
          <w:p>
            <w:pPr>
              <w:widowControl w:val="0"/>
              <w:snapToGrid w:val="0"/>
              <w:spacing w:before="120" w:beforeLines="50" w:after="120" w:afterLines="50" w:line="240" w:lineRule="auto"/>
              <w:jc w:val="center"/>
              <w:rPr>
                <w:rFonts w:eastAsia="宋体"/>
                <w:lang w:val="en-US" w:eastAsia="zh-CN"/>
              </w:rPr>
            </w:pPr>
          </w:p>
        </w:tc>
        <w:tc>
          <w:tcPr>
            <w:tcW w:w="1318" w:type="dxa"/>
          </w:tcPr>
          <w:p>
            <w:pPr>
              <w:widowControl w:val="0"/>
              <w:snapToGrid w:val="0"/>
              <w:spacing w:before="120" w:beforeLines="50" w:after="120" w:afterLines="50" w:line="240" w:lineRule="auto"/>
              <w:jc w:val="center"/>
              <w:rPr>
                <w:rFonts w:eastAsia="宋体"/>
                <w:lang w:val="en-US" w:eastAsia="zh-CN"/>
              </w:rPr>
            </w:pPr>
            <w:r>
              <w:rPr>
                <w:rFonts w:hint="eastAsia"/>
              </w:rPr>
              <w:t>Without PB</w:t>
            </w:r>
          </w:p>
        </w:tc>
        <w:tc>
          <w:tcPr>
            <w:tcW w:w="1319" w:type="dxa"/>
          </w:tcPr>
          <w:p>
            <w:pPr>
              <w:widowControl w:val="0"/>
              <w:snapToGrid w:val="0"/>
              <w:spacing w:before="120" w:beforeLines="50" w:after="120" w:afterLines="50" w:line="240" w:lineRule="auto"/>
              <w:jc w:val="center"/>
              <w:rPr>
                <w:rFonts w:eastAsia="宋体"/>
                <w:lang w:val="en-US" w:eastAsia="zh-CN"/>
              </w:rPr>
            </w:pPr>
            <w:r>
              <w:rPr>
                <w:rFonts w:hint="eastAsia"/>
              </w:rPr>
              <w:t>With PB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74" w:type="dxa"/>
          </w:tcPr>
          <w:p>
            <w:pPr>
              <w:widowControl w:val="0"/>
              <w:snapToGrid w:val="0"/>
              <w:spacing w:before="120" w:beforeLines="50" w:after="120" w:afterLines="50" w:line="240" w:lineRule="auto"/>
              <w:jc w:val="center"/>
              <w:rPr>
                <w:rFonts w:eastAsia="宋体"/>
                <w:lang w:val="en-US" w:eastAsia="zh-CN"/>
              </w:rPr>
            </w:pPr>
            <w:r>
              <w:rPr>
                <w:rFonts w:hint="eastAsia"/>
              </w:rPr>
              <w:t>120kHz, Block PTRS</w:t>
            </w:r>
          </w:p>
        </w:tc>
        <w:tc>
          <w:tcPr>
            <w:tcW w:w="1318" w:type="dxa"/>
          </w:tcPr>
          <w:p>
            <w:pPr>
              <w:widowControl w:val="0"/>
              <w:snapToGrid w:val="0"/>
              <w:spacing w:before="120" w:beforeLines="50" w:after="120" w:afterLines="50" w:line="240" w:lineRule="auto"/>
              <w:jc w:val="center"/>
              <w:rPr>
                <w:rFonts w:eastAsia="宋体"/>
                <w:lang w:val="en-US" w:eastAsia="zh-CN"/>
              </w:rPr>
            </w:pPr>
            <w:r>
              <w:rPr>
                <w:rFonts w:hint="eastAsia" w:eastAsia="宋体"/>
                <w:lang w:val="en-US" w:eastAsia="zh-CN"/>
              </w:rPr>
              <w:t>16.9</w:t>
            </w:r>
          </w:p>
        </w:tc>
        <w:tc>
          <w:tcPr>
            <w:tcW w:w="1319" w:type="dxa"/>
          </w:tcPr>
          <w:p>
            <w:pPr>
              <w:widowControl w:val="0"/>
              <w:snapToGrid w:val="0"/>
              <w:spacing w:before="120" w:beforeLines="50" w:after="120" w:afterLines="50" w:line="240" w:lineRule="auto"/>
              <w:jc w:val="center"/>
              <w:rPr>
                <w:rFonts w:eastAsia="宋体"/>
                <w:lang w:val="en-US" w:eastAsia="zh-CN"/>
              </w:rPr>
            </w:pPr>
            <w:r>
              <w:rPr>
                <w:rFonts w:hint="eastAsia"/>
              </w:rPr>
              <w:t>16.6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74" w:type="dxa"/>
          </w:tcPr>
          <w:p>
            <w:pPr>
              <w:widowControl w:val="0"/>
              <w:snapToGrid w:val="0"/>
              <w:spacing w:before="120" w:beforeLines="50" w:after="120" w:afterLines="50" w:line="240" w:lineRule="auto"/>
              <w:jc w:val="center"/>
              <w:rPr>
                <w:rFonts w:eastAsia="宋体"/>
                <w:lang w:val="en-US" w:eastAsia="zh-CN"/>
              </w:rPr>
            </w:pPr>
            <w:r>
              <w:rPr>
                <w:rFonts w:hint="eastAsia"/>
              </w:rPr>
              <w:t>120kHz, Legacy PTRS</w:t>
            </w:r>
          </w:p>
        </w:tc>
        <w:tc>
          <w:tcPr>
            <w:tcW w:w="1318" w:type="dxa"/>
          </w:tcPr>
          <w:p>
            <w:pPr>
              <w:widowControl w:val="0"/>
              <w:snapToGrid w:val="0"/>
              <w:spacing w:before="120" w:beforeLines="50" w:after="120" w:afterLines="50" w:line="240" w:lineRule="auto"/>
              <w:jc w:val="center"/>
              <w:rPr>
                <w:rFonts w:eastAsia="宋体"/>
                <w:lang w:val="en-US" w:eastAsia="zh-CN"/>
              </w:rPr>
            </w:pPr>
            <w:r>
              <w:rPr>
                <w:rFonts w:hint="eastAsia" w:eastAsia="宋体"/>
                <w:lang w:val="en-US" w:eastAsia="zh-CN"/>
              </w:rPr>
              <w:t>16.6</w:t>
            </w:r>
          </w:p>
        </w:tc>
        <w:tc>
          <w:tcPr>
            <w:tcW w:w="1319" w:type="dxa"/>
          </w:tcPr>
          <w:p>
            <w:pPr>
              <w:widowControl w:val="0"/>
              <w:snapToGrid w:val="0"/>
              <w:spacing w:before="120" w:beforeLines="50" w:after="120" w:afterLines="50" w:line="240" w:lineRule="auto"/>
              <w:jc w:val="center"/>
              <w:rPr>
                <w:rFonts w:eastAsia="宋体"/>
                <w:lang w:val="en-US" w:eastAsia="zh-CN"/>
              </w:rPr>
            </w:pPr>
            <w:r>
              <w:rPr>
                <w:rFonts w:hint="eastAsia"/>
              </w:rPr>
              <w:t>16.6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74" w:type="dxa"/>
          </w:tcPr>
          <w:p>
            <w:pPr>
              <w:widowControl w:val="0"/>
              <w:snapToGrid w:val="0"/>
              <w:spacing w:before="120" w:beforeLines="50" w:after="120" w:afterLines="50" w:line="240" w:lineRule="auto"/>
              <w:jc w:val="center"/>
              <w:rPr>
                <w:rFonts w:eastAsia="宋体"/>
                <w:lang w:val="en-US" w:eastAsia="zh-CN"/>
              </w:rPr>
            </w:pPr>
            <w:r>
              <w:rPr>
                <w:rFonts w:hint="eastAsia"/>
              </w:rPr>
              <w:t>480kHz, Block PTRS</w:t>
            </w:r>
          </w:p>
        </w:tc>
        <w:tc>
          <w:tcPr>
            <w:tcW w:w="1318" w:type="dxa"/>
          </w:tcPr>
          <w:p>
            <w:pPr>
              <w:widowControl w:val="0"/>
              <w:snapToGrid w:val="0"/>
              <w:spacing w:before="120" w:beforeLines="50" w:after="120" w:afterLines="50" w:line="240" w:lineRule="auto"/>
              <w:jc w:val="center"/>
              <w:rPr>
                <w:rFonts w:eastAsia="宋体"/>
                <w:lang w:val="en-US" w:eastAsia="zh-CN"/>
              </w:rPr>
            </w:pPr>
            <w:r>
              <w:rPr>
                <w:rFonts w:hint="eastAsia" w:eastAsia="宋体"/>
                <w:lang w:val="en-US" w:eastAsia="zh-CN"/>
              </w:rPr>
              <w:t>15.6</w:t>
            </w:r>
          </w:p>
        </w:tc>
        <w:tc>
          <w:tcPr>
            <w:tcW w:w="1319" w:type="dxa"/>
          </w:tcPr>
          <w:p>
            <w:pPr>
              <w:widowControl w:val="0"/>
              <w:snapToGrid w:val="0"/>
              <w:spacing w:before="120" w:beforeLines="50" w:after="120" w:afterLines="50" w:line="240" w:lineRule="auto"/>
              <w:jc w:val="center"/>
              <w:rPr>
                <w:rFonts w:eastAsia="宋体"/>
                <w:lang w:val="en-US" w:eastAsia="zh-CN"/>
              </w:rPr>
            </w:pPr>
            <w:r>
              <w:rPr>
                <w:rFonts w:hint="eastAsia"/>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74" w:type="dxa"/>
          </w:tcPr>
          <w:p>
            <w:pPr>
              <w:widowControl w:val="0"/>
              <w:snapToGrid w:val="0"/>
              <w:spacing w:before="120" w:beforeLines="50" w:after="120" w:afterLines="50" w:line="240" w:lineRule="auto"/>
              <w:jc w:val="center"/>
              <w:rPr>
                <w:rFonts w:eastAsia="宋体"/>
                <w:lang w:val="en-US" w:eastAsia="zh-CN"/>
              </w:rPr>
            </w:pPr>
            <w:r>
              <w:rPr>
                <w:rFonts w:hint="eastAsia"/>
              </w:rPr>
              <w:t>480kHz, Legacy PTRS</w:t>
            </w:r>
          </w:p>
        </w:tc>
        <w:tc>
          <w:tcPr>
            <w:tcW w:w="1318" w:type="dxa"/>
          </w:tcPr>
          <w:p>
            <w:pPr>
              <w:widowControl w:val="0"/>
              <w:snapToGrid w:val="0"/>
              <w:spacing w:before="120" w:beforeLines="50" w:after="120" w:afterLines="50" w:line="240" w:lineRule="auto"/>
              <w:jc w:val="center"/>
              <w:rPr>
                <w:rFonts w:eastAsia="宋体"/>
                <w:lang w:val="en-US" w:eastAsia="zh-CN"/>
              </w:rPr>
            </w:pPr>
            <w:r>
              <w:rPr>
                <w:rFonts w:hint="eastAsia" w:eastAsia="宋体"/>
                <w:lang w:val="en-US" w:eastAsia="zh-CN"/>
              </w:rPr>
              <w:t>15.4</w:t>
            </w:r>
          </w:p>
        </w:tc>
        <w:tc>
          <w:tcPr>
            <w:tcW w:w="1319" w:type="dxa"/>
          </w:tcPr>
          <w:p>
            <w:pPr>
              <w:widowControl w:val="0"/>
              <w:snapToGrid w:val="0"/>
              <w:spacing w:before="120" w:beforeLines="50" w:after="120" w:afterLines="50" w:line="240" w:lineRule="auto"/>
              <w:jc w:val="center"/>
              <w:rPr>
                <w:rFonts w:eastAsia="宋体"/>
                <w:lang w:val="en-US" w:eastAsia="zh-CN"/>
              </w:rPr>
            </w:pPr>
            <w:r>
              <w:rPr>
                <w:rFonts w:hint="eastAsia"/>
              </w:rPr>
              <w:t>15.5</w:t>
            </w:r>
          </w:p>
        </w:tc>
      </w:tr>
    </w:tbl>
    <w:p>
      <w:pPr>
        <w:widowControl w:val="0"/>
        <w:numPr>
          <w:ilvl w:val="255"/>
          <w:numId w:val="0"/>
        </w:numPr>
        <w:autoSpaceDE w:val="0"/>
        <w:autoSpaceDN w:val="0"/>
        <w:adjustRightInd w:val="0"/>
        <w:spacing w:before="120" w:beforeLines="50" w:after="120" w:afterLines="50" w:line="240" w:lineRule="auto"/>
        <w:jc w:val="both"/>
        <w:rPr>
          <w:lang w:val="en-US" w:eastAsia="zh-CN"/>
        </w:rPr>
      </w:pPr>
    </w:p>
    <w:p>
      <w:pPr>
        <w:pStyle w:val="4"/>
        <w:numPr>
          <w:ilvl w:val="2"/>
          <w:numId w:val="0"/>
        </w:numPr>
        <w:rPr>
          <w:lang w:val="en-US" w:eastAsia="zh-CN"/>
        </w:rPr>
      </w:pPr>
      <w:r>
        <w:rPr>
          <w:rFonts w:hint="eastAsia"/>
          <w:lang w:val="en-US" w:eastAsia="zh-CN"/>
        </w:rPr>
        <w:t>A1-5. PTRS density for CP-OFDM</w:t>
      </w:r>
    </w:p>
    <w:p>
      <w:pPr>
        <w:numPr>
          <w:ilvl w:val="255"/>
          <w:numId w:val="0"/>
        </w:numPr>
        <w:jc w:val="center"/>
        <w:rPr>
          <w:lang w:val="en-US" w:eastAsia="zh-CN"/>
        </w:rPr>
      </w:pPr>
      <w:r>
        <w:rPr>
          <w:rFonts w:hint="eastAsia"/>
          <w:lang w:val="en-US" w:eastAsia="zh-CN"/>
        </w:rPr>
        <w:t xml:space="preserve">Table A1-5 </w:t>
      </w:r>
      <w:r>
        <w:t>SINR in dB achieving PDSCH BLER of 10%</w:t>
      </w:r>
    </w:p>
    <w:tbl>
      <w:tblPr>
        <w:tblStyle w:val="26"/>
        <w:tblW w:w="5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967"/>
        <w:gridCol w:w="1019"/>
        <w:gridCol w:w="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Pr>
          <w:p>
            <w:pPr>
              <w:numPr>
                <w:ilvl w:val="255"/>
                <w:numId w:val="0"/>
              </w:numPr>
              <w:jc w:val="center"/>
              <w:rPr>
                <w:lang w:val="en-US" w:eastAsia="zh-CN"/>
              </w:rPr>
            </w:pPr>
          </w:p>
        </w:tc>
        <w:tc>
          <w:tcPr>
            <w:tcW w:w="967" w:type="dxa"/>
          </w:tcPr>
          <w:p>
            <w:pPr>
              <w:numPr>
                <w:ilvl w:val="255"/>
                <w:numId w:val="0"/>
              </w:numPr>
              <w:jc w:val="center"/>
              <w:rPr>
                <w:lang w:val="en-US" w:eastAsia="zh-CN"/>
              </w:rPr>
            </w:pPr>
            <w:r>
              <w:rPr>
                <w:rFonts w:hint="eastAsia"/>
              </w:rPr>
              <w:t>8 PRBs</w:t>
            </w:r>
          </w:p>
        </w:tc>
        <w:tc>
          <w:tcPr>
            <w:tcW w:w="1019" w:type="dxa"/>
          </w:tcPr>
          <w:p>
            <w:pPr>
              <w:numPr>
                <w:ilvl w:val="255"/>
                <w:numId w:val="0"/>
              </w:numPr>
              <w:jc w:val="center"/>
              <w:rPr>
                <w:lang w:val="en-US" w:eastAsia="zh-CN"/>
              </w:rPr>
            </w:pPr>
            <w:r>
              <w:rPr>
                <w:rFonts w:hint="eastAsia"/>
              </w:rPr>
              <w:t>16 PRBs</w:t>
            </w:r>
          </w:p>
        </w:tc>
        <w:tc>
          <w:tcPr>
            <w:tcW w:w="939" w:type="dxa"/>
          </w:tcPr>
          <w:p>
            <w:pPr>
              <w:numPr>
                <w:ilvl w:val="255"/>
                <w:numId w:val="0"/>
              </w:numPr>
              <w:jc w:val="center"/>
              <w:rPr>
                <w:lang w:val="en-US" w:eastAsia="zh-CN"/>
              </w:rPr>
            </w:pPr>
            <w:r>
              <w:rPr>
                <w:rFonts w:hint="eastAsia"/>
              </w:rPr>
              <w:t>32 PRBs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Pr>
          <w:p>
            <w:pPr>
              <w:numPr>
                <w:ilvl w:val="255"/>
                <w:numId w:val="0"/>
              </w:numPr>
              <w:jc w:val="center"/>
              <w:rPr>
                <w:lang w:val="en-US" w:eastAsia="zh-CN"/>
              </w:rPr>
            </w:pPr>
            <w:r>
              <w:rPr>
                <w:rFonts w:hint="eastAsia"/>
              </w:rPr>
              <w:t>120kHz, K=2, CPE</w:t>
            </w:r>
          </w:p>
        </w:tc>
        <w:tc>
          <w:tcPr>
            <w:tcW w:w="967" w:type="dxa"/>
          </w:tcPr>
          <w:p>
            <w:pPr>
              <w:numPr>
                <w:ilvl w:val="255"/>
                <w:numId w:val="0"/>
              </w:numPr>
              <w:jc w:val="center"/>
              <w:rPr>
                <w:lang w:val="en-US" w:eastAsia="zh-CN"/>
              </w:rPr>
            </w:pPr>
            <w:r>
              <w:rPr>
                <w:rFonts w:hint="eastAsia"/>
              </w:rPr>
              <w:t>18.0</w:t>
            </w:r>
          </w:p>
        </w:tc>
        <w:tc>
          <w:tcPr>
            <w:tcW w:w="1019" w:type="dxa"/>
          </w:tcPr>
          <w:p>
            <w:pPr>
              <w:numPr>
                <w:ilvl w:val="255"/>
                <w:numId w:val="0"/>
              </w:numPr>
              <w:jc w:val="center"/>
              <w:rPr>
                <w:lang w:val="en-US" w:eastAsia="zh-CN"/>
              </w:rPr>
            </w:pPr>
            <w:r>
              <w:rPr>
                <w:rFonts w:hint="eastAsia"/>
              </w:rPr>
              <w:t>17.4</w:t>
            </w:r>
          </w:p>
        </w:tc>
        <w:tc>
          <w:tcPr>
            <w:tcW w:w="939" w:type="dxa"/>
          </w:tcPr>
          <w:p>
            <w:pPr>
              <w:numPr>
                <w:ilvl w:val="255"/>
                <w:numId w:val="0"/>
              </w:numPr>
              <w:jc w:val="center"/>
              <w:rPr>
                <w:lang w:val="en-US" w:eastAsia="zh-CN"/>
              </w:rPr>
            </w:pPr>
            <w:r>
              <w:rPr>
                <w:rFonts w:hint="eastAsia"/>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Pr>
          <w:p>
            <w:pPr>
              <w:numPr>
                <w:ilvl w:val="255"/>
                <w:numId w:val="0"/>
              </w:numPr>
              <w:jc w:val="center"/>
              <w:rPr>
                <w:lang w:val="en-US" w:eastAsia="zh-CN"/>
              </w:rPr>
            </w:pPr>
            <w:r>
              <w:rPr>
                <w:rFonts w:hint="eastAsia"/>
              </w:rPr>
              <w:t>120kHz, K=1, CPE</w:t>
            </w:r>
          </w:p>
        </w:tc>
        <w:tc>
          <w:tcPr>
            <w:tcW w:w="967" w:type="dxa"/>
          </w:tcPr>
          <w:p>
            <w:pPr>
              <w:numPr>
                <w:ilvl w:val="255"/>
                <w:numId w:val="0"/>
              </w:numPr>
              <w:jc w:val="center"/>
              <w:rPr>
                <w:lang w:val="en-US" w:eastAsia="zh-CN"/>
              </w:rPr>
            </w:pPr>
            <w:r>
              <w:rPr>
                <w:rFonts w:hint="eastAsia"/>
              </w:rPr>
              <w:t>17.8</w:t>
            </w:r>
          </w:p>
        </w:tc>
        <w:tc>
          <w:tcPr>
            <w:tcW w:w="1019" w:type="dxa"/>
          </w:tcPr>
          <w:p>
            <w:pPr>
              <w:numPr>
                <w:ilvl w:val="255"/>
                <w:numId w:val="0"/>
              </w:numPr>
              <w:jc w:val="center"/>
              <w:rPr>
                <w:lang w:val="en-US" w:eastAsia="zh-CN"/>
              </w:rPr>
            </w:pPr>
            <w:r>
              <w:rPr>
                <w:rFonts w:hint="eastAsia"/>
              </w:rPr>
              <w:t>17.1</w:t>
            </w:r>
          </w:p>
        </w:tc>
        <w:tc>
          <w:tcPr>
            <w:tcW w:w="939" w:type="dxa"/>
          </w:tcPr>
          <w:p>
            <w:pPr>
              <w:numPr>
                <w:ilvl w:val="255"/>
                <w:numId w:val="0"/>
              </w:numPr>
              <w:jc w:val="center"/>
              <w:rPr>
                <w:lang w:val="en-US" w:eastAsia="zh-CN"/>
              </w:rPr>
            </w:pPr>
            <w:r>
              <w:rPr>
                <w:rFonts w:hint="eastAsia"/>
              </w:rPr>
              <w:t>17.6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Pr>
          <w:p>
            <w:pPr>
              <w:numPr>
                <w:ilvl w:val="255"/>
                <w:numId w:val="0"/>
              </w:numPr>
              <w:jc w:val="center"/>
              <w:rPr>
                <w:lang w:val="en-US" w:eastAsia="zh-CN"/>
              </w:rPr>
            </w:pPr>
            <w:r>
              <w:rPr>
                <w:rFonts w:hint="eastAsia"/>
              </w:rPr>
              <w:t>120kHz, K=0.5, CPE</w:t>
            </w:r>
          </w:p>
        </w:tc>
        <w:tc>
          <w:tcPr>
            <w:tcW w:w="967" w:type="dxa"/>
          </w:tcPr>
          <w:p>
            <w:pPr>
              <w:numPr>
                <w:ilvl w:val="255"/>
                <w:numId w:val="0"/>
              </w:numPr>
              <w:jc w:val="center"/>
              <w:rPr>
                <w:lang w:val="en-US" w:eastAsia="zh-CN"/>
              </w:rPr>
            </w:pPr>
            <w:r>
              <w:rPr>
                <w:rFonts w:hint="eastAsia"/>
              </w:rPr>
              <w:t>17.2</w:t>
            </w:r>
          </w:p>
        </w:tc>
        <w:tc>
          <w:tcPr>
            <w:tcW w:w="1019" w:type="dxa"/>
          </w:tcPr>
          <w:p>
            <w:pPr>
              <w:numPr>
                <w:ilvl w:val="255"/>
                <w:numId w:val="0"/>
              </w:numPr>
              <w:jc w:val="center"/>
              <w:rPr>
                <w:lang w:val="en-US" w:eastAsia="zh-CN"/>
              </w:rPr>
            </w:pPr>
            <w:r>
              <w:rPr>
                <w:rFonts w:hint="eastAsia"/>
              </w:rPr>
              <w:t>17.2</w:t>
            </w:r>
          </w:p>
        </w:tc>
        <w:tc>
          <w:tcPr>
            <w:tcW w:w="939" w:type="dxa"/>
          </w:tcPr>
          <w:p>
            <w:pPr>
              <w:numPr>
                <w:ilvl w:val="255"/>
                <w:numId w:val="0"/>
              </w:numPr>
              <w:jc w:val="center"/>
              <w:rPr>
                <w:lang w:val="en-US" w:eastAsia="zh-CN"/>
              </w:rPr>
            </w:pPr>
            <w:r>
              <w:rPr>
                <w:rFonts w:hint="eastAsia"/>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Pr>
          <w:p>
            <w:pPr>
              <w:numPr>
                <w:ilvl w:val="255"/>
                <w:numId w:val="0"/>
              </w:numPr>
              <w:jc w:val="center"/>
              <w:rPr>
                <w:lang w:val="en-US" w:eastAsia="zh-CN"/>
              </w:rPr>
            </w:pPr>
            <w:r>
              <w:rPr>
                <w:rFonts w:hint="eastAsia"/>
              </w:rPr>
              <w:t>120kHz, K=2, ICI</w:t>
            </w:r>
          </w:p>
        </w:tc>
        <w:tc>
          <w:tcPr>
            <w:tcW w:w="967" w:type="dxa"/>
          </w:tcPr>
          <w:p>
            <w:pPr>
              <w:numPr>
                <w:ilvl w:val="255"/>
                <w:numId w:val="0"/>
              </w:numPr>
              <w:jc w:val="center"/>
              <w:rPr>
                <w:lang w:val="en-US" w:eastAsia="zh-CN"/>
              </w:rPr>
            </w:pPr>
            <w:r>
              <w:rPr>
                <w:rFonts w:hint="eastAsia"/>
              </w:rPr>
              <w:t>NaN</w:t>
            </w:r>
          </w:p>
        </w:tc>
        <w:tc>
          <w:tcPr>
            <w:tcW w:w="1019" w:type="dxa"/>
          </w:tcPr>
          <w:p>
            <w:pPr>
              <w:numPr>
                <w:ilvl w:val="255"/>
                <w:numId w:val="0"/>
              </w:numPr>
              <w:jc w:val="center"/>
              <w:rPr>
                <w:lang w:val="en-US" w:eastAsia="zh-CN"/>
              </w:rPr>
            </w:pPr>
            <w:r>
              <w:rPr>
                <w:rFonts w:hint="eastAsia"/>
              </w:rPr>
              <w:t>18.8</w:t>
            </w:r>
          </w:p>
        </w:tc>
        <w:tc>
          <w:tcPr>
            <w:tcW w:w="939" w:type="dxa"/>
          </w:tcPr>
          <w:p>
            <w:pPr>
              <w:numPr>
                <w:ilvl w:val="255"/>
                <w:numId w:val="0"/>
              </w:numPr>
              <w:jc w:val="center"/>
              <w:rPr>
                <w:lang w:val="en-US" w:eastAsia="zh-CN"/>
              </w:rPr>
            </w:pPr>
            <w:r>
              <w:rPr>
                <w:rFonts w:hint="eastAsia"/>
              </w:rPr>
              <w:t>17.9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Pr>
          <w:p>
            <w:pPr>
              <w:numPr>
                <w:ilvl w:val="255"/>
                <w:numId w:val="0"/>
              </w:numPr>
              <w:jc w:val="center"/>
              <w:rPr>
                <w:lang w:val="en-US" w:eastAsia="zh-CN"/>
              </w:rPr>
            </w:pPr>
            <w:r>
              <w:rPr>
                <w:rFonts w:hint="eastAsia"/>
              </w:rPr>
              <w:t>120kHz, K=1, ICI</w:t>
            </w:r>
          </w:p>
        </w:tc>
        <w:tc>
          <w:tcPr>
            <w:tcW w:w="967" w:type="dxa"/>
          </w:tcPr>
          <w:p>
            <w:pPr>
              <w:numPr>
                <w:ilvl w:val="255"/>
                <w:numId w:val="0"/>
              </w:numPr>
              <w:jc w:val="center"/>
              <w:rPr>
                <w:lang w:val="en-US" w:eastAsia="zh-CN"/>
              </w:rPr>
            </w:pPr>
            <w:r>
              <w:rPr>
                <w:rFonts w:hint="eastAsia"/>
              </w:rPr>
              <w:t>19.0</w:t>
            </w:r>
          </w:p>
        </w:tc>
        <w:tc>
          <w:tcPr>
            <w:tcW w:w="1019" w:type="dxa"/>
          </w:tcPr>
          <w:p>
            <w:pPr>
              <w:numPr>
                <w:ilvl w:val="255"/>
                <w:numId w:val="0"/>
              </w:numPr>
              <w:jc w:val="center"/>
              <w:rPr>
                <w:lang w:val="en-US" w:eastAsia="zh-CN"/>
              </w:rPr>
            </w:pPr>
            <w:r>
              <w:rPr>
                <w:rFonts w:hint="eastAsia"/>
              </w:rPr>
              <w:t>17.4</w:t>
            </w:r>
          </w:p>
        </w:tc>
        <w:tc>
          <w:tcPr>
            <w:tcW w:w="939" w:type="dxa"/>
          </w:tcPr>
          <w:p>
            <w:pPr>
              <w:numPr>
                <w:ilvl w:val="255"/>
                <w:numId w:val="0"/>
              </w:numPr>
              <w:jc w:val="center"/>
              <w:rPr>
                <w:lang w:val="en-US" w:eastAsia="zh-CN"/>
              </w:rPr>
            </w:pPr>
            <w:r>
              <w:rPr>
                <w:rFonts w:hint="eastAsia"/>
              </w:rPr>
              <w:t>17.4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Pr>
          <w:p>
            <w:pPr>
              <w:numPr>
                <w:ilvl w:val="255"/>
                <w:numId w:val="0"/>
              </w:numPr>
              <w:jc w:val="center"/>
              <w:rPr>
                <w:lang w:val="en-US" w:eastAsia="zh-CN"/>
              </w:rPr>
            </w:pPr>
            <w:r>
              <w:rPr>
                <w:rFonts w:hint="eastAsia"/>
              </w:rPr>
              <w:t>120kHz, K=0.5, ICI</w:t>
            </w:r>
          </w:p>
        </w:tc>
        <w:tc>
          <w:tcPr>
            <w:tcW w:w="967" w:type="dxa"/>
          </w:tcPr>
          <w:p>
            <w:pPr>
              <w:numPr>
                <w:ilvl w:val="255"/>
                <w:numId w:val="0"/>
              </w:numPr>
              <w:jc w:val="center"/>
              <w:rPr>
                <w:lang w:val="en-US" w:eastAsia="zh-CN"/>
              </w:rPr>
            </w:pPr>
            <w:r>
              <w:rPr>
                <w:rFonts w:hint="eastAsia"/>
              </w:rPr>
              <w:t>17.5</w:t>
            </w:r>
          </w:p>
        </w:tc>
        <w:tc>
          <w:tcPr>
            <w:tcW w:w="1019" w:type="dxa"/>
          </w:tcPr>
          <w:p>
            <w:pPr>
              <w:numPr>
                <w:ilvl w:val="255"/>
                <w:numId w:val="0"/>
              </w:numPr>
              <w:jc w:val="center"/>
              <w:rPr>
                <w:lang w:val="en-US" w:eastAsia="zh-CN"/>
              </w:rPr>
            </w:pPr>
            <w:r>
              <w:rPr>
                <w:rFonts w:hint="eastAsia"/>
              </w:rPr>
              <w:t>17.1</w:t>
            </w:r>
          </w:p>
        </w:tc>
        <w:tc>
          <w:tcPr>
            <w:tcW w:w="939" w:type="dxa"/>
          </w:tcPr>
          <w:p>
            <w:pPr>
              <w:numPr>
                <w:ilvl w:val="255"/>
                <w:numId w:val="0"/>
              </w:numPr>
              <w:jc w:val="center"/>
              <w:rPr>
                <w:lang w:val="en-US" w:eastAsia="zh-CN"/>
              </w:rPr>
            </w:pPr>
            <w:r>
              <w:rPr>
                <w:rFonts w:hint="eastAsia"/>
              </w:rPr>
              <w:t>17.1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Pr>
          <w:p>
            <w:pPr>
              <w:numPr>
                <w:ilvl w:val="255"/>
                <w:numId w:val="0"/>
              </w:numPr>
              <w:jc w:val="center"/>
              <w:rPr>
                <w:lang w:val="en-US" w:eastAsia="zh-CN"/>
              </w:rPr>
            </w:pPr>
            <w:r>
              <w:rPr>
                <w:rFonts w:hint="eastAsia"/>
              </w:rPr>
              <w:t>480kHz, K=2, CPE</w:t>
            </w:r>
          </w:p>
        </w:tc>
        <w:tc>
          <w:tcPr>
            <w:tcW w:w="967" w:type="dxa"/>
          </w:tcPr>
          <w:p>
            <w:pPr>
              <w:numPr>
                <w:ilvl w:val="255"/>
                <w:numId w:val="0"/>
              </w:numPr>
              <w:jc w:val="center"/>
              <w:rPr>
                <w:lang w:val="en-US" w:eastAsia="zh-CN"/>
              </w:rPr>
            </w:pPr>
            <w:r>
              <w:rPr>
                <w:rFonts w:hint="eastAsia"/>
              </w:rPr>
              <w:t>16.5</w:t>
            </w:r>
          </w:p>
        </w:tc>
        <w:tc>
          <w:tcPr>
            <w:tcW w:w="1019" w:type="dxa"/>
          </w:tcPr>
          <w:p>
            <w:pPr>
              <w:numPr>
                <w:ilvl w:val="255"/>
                <w:numId w:val="0"/>
              </w:numPr>
              <w:jc w:val="center"/>
              <w:rPr>
                <w:lang w:val="en-US" w:eastAsia="zh-CN"/>
              </w:rPr>
            </w:pPr>
            <w:r>
              <w:rPr>
                <w:rFonts w:hint="eastAsia"/>
              </w:rPr>
              <w:t>16.3</w:t>
            </w:r>
          </w:p>
        </w:tc>
        <w:tc>
          <w:tcPr>
            <w:tcW w:w="939" w:type="dxa"/>
          </w:tcPr>
          <w:p>
            <w:pPr>
              <w:numPr>
                <w:ilvl w:val="255"/>
                <w:numId w:val="0"/>
              </w:numPr>
              <w:jc w:val="center"/>
              <w:rPr>
                <w:lang w:val="en-US" w:eastAsia="zh-CN"/>
              </w:rPr>
            </w:pPr>
            <w:r>
              <w:rPr>
                <w:rFonts w:hint="eastAsia"/>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Pr>
          <w:p>
            <w:pPr>
              <w:numPr>
                <w:ilvl w:val="255"/>
                <w:numId w:val="0"/>
              </w:numPr>
              <w:jc w:val="center"/>
              <w:rPr>
                <w:lang w:val="en-US" w:eastAsia="zh-CN"/>
              </w:rPr>
            </w:pPr>
            <w:r>
              <w:rPr>
                <w:rFonts w:hint="eastAsia"/>
              </w:rPr>
              <w:t>480kHz, K=1, CPE</w:t>
            </w:r>
          </w:p>
        </w:tc>
        <w:tc>
          <w:tcPr>
            <w:tcW w:w="967" w:type="dxa"/>
          </w:tcPr>
          <w:p>
            <w:pPr>
              <w:numPr>
                <w:ilvl w:val="255"/>
                <w:numId w:val="0"/>
              </w:numPr>
              <w:jc w:val="center"/>
              <w:rPr>
                <w:lang w:val="en-US" w:eastAsia="zh-CN"/>
              </w:rPr>
            </w:pPr>
            <w:r>
              <w:rPr>
                <w:rFonts w:hint="eastAsia"/>
              </w:rPr>
              <w:t>16.3</w:t>
            </w:r>
          </w:p>
        </w:tc>
        <w:tc>
          <w:tcPr>
            <w:tcW w:w="1019" w:type="dxa"/>
          </w:tcPr>
          <w:p>
            <w:pPr>
              <w:numPr>
                <w:ilvl w:val="255"/>
                <w:numId w:val="0"/>
              </w:numPr>
              <w:jc w:val="center"/>
              <w:rPr>
                <w:lang w:val="en-US" w:eastAsia="zh-CN"/>
              </w:rPr>
            </w:pPr>
            <w:r>
              <w:rPr>
                <w:rFonts w:hint="eastAsia"/>
              </w:rPr>
              <w:t>16.0</w:t>
            </w:r>
          </w:p>
        </w:tc>
        <w:tc>
          <w:tcPr>
            <w:tcW w:w="939" w:type="dxa"/>
          </w:tcPr>
          <w:p>
            <w:pPr>
              <w:numPr>
                <w:ilvl w:val="255"/>
                <w:numId w:val="0"/>
              </w:numPr>
              <w:jc w:val="center"/>
              <w:rPr>
                <w:lang w:val="en-US" w:eastAsia="zh-CN"/>
              </w:rPr>
            </w:pPr>
            <w:r>
              <w:rPr>
                <w:rFonts w:hint="eastAsia"/>
              </w:rPr>
              <w:t>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Pr>
          <w:p>
            <w:pPr>
              <w:numPr>
                <w:ilvl w:val="255"/>
                <w:numId w:val="0"/>
              </w:numPr>
              <w:jc w:val="center"/>
              <w:rPr>
                <w:lang w:val="en-US" w:eastAsia="zh-CN"/>
              </w:rPr>
            </w:pPr>
            <w:r>
              <w:rPr>
                <w:rFonts w:hint="eastAsia"/>
              </w:rPr>
              <w:t>480kHz, K=0.5, CPE</w:t>
            </w:r>
          </w:p>
        </w:tc>
        <w:tc>
          <w:tcPr>
            <w:tcW w:w="967" w:type="dxa"/>
          </w:tcPr>
          <w:p>
            <w:pPr>
              <w:numPr>
                <w:ilvl w:val="255"/>
                <w:numId w:val="0"/>
              </w:numPr>
              <w:jc w:val="center"/>
              <w:rPr>
                <w:lang w:val="en-US" w:eastAsia="zh-CN"/>
              </w:rPr>
            </w:pPr>
            <w:r>
              <w:rPr>
                <w:rFonts w:hint="eastAsia"/>
              </w:rPr>
              <w:t>15.8</w:t>
            </w:r>
          </w:p>
        </w:tc>
        <w:tc>
          <w:tcPr>
            <w:tcW w:w="1019" w:type="dxa"/>
          </w:tcPr>
          <w:p>
            <w:pPr>
              <w:numPr>
                <w:ilvl w:val="255"/>
                <w:numId w:val="0"/>
              </w:numPr>
              <w:jc w:val="center"/>
              <w:rPr>
                <w:lang w:val="en-US" w:eastAsia="zh-CN"/>
              </w:rPr>
            </w:pPr>
            <w:r>
              <w:rPr>
                <w:rFonts w:hint="eastAsia"/>
              </w:rPr>
              <w:t>16.1</w:t>
            </w:r>
          </w:p>
        </w:tc>
        <w:tc>
          <w:tcPr>
            <w:tcW w:w="939" w:type="dxa"/>
          </w:tcPr>
          <w:p>
            <w:pPr>
              <w:numPr>
                <w:ilvl w:val="255"/>
                <w:numId w:val="0"/>
              </w:numPr>
              <w:jc w:val="center"/>
              <w:rPr>
                <w:lang w:val="en-US" w:eastAsia="zh-CN"/>
              </w:rPr>
            </w:pPr>
            <w:r>
              <w:rPr>
                <w:rFonts w:hint="eastAsia"/>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Pr>
          <w:p>
            <w:pPr>
              <w:numPr>
                <w:ilvl w:val="255"/>
                <w:numId w:val="0"/>
              </w:numPr>
              <w:jc w:val="center"/>
              <w:rPr>
                <w:lang w:val="en-US" w:eastAsia="zh-CN"/>
              </w:rPr>
            </w:pPr>
            <w:r>
              <w:rPr>
                <w:rFonts w:hint="eastAsia"/>
              </w:rPr>
              <w:t>480kHz, K=2, ICI</w:t>
            </w:r>
          </w:p>
        </w:tc>
        <w:tc>
          <w:tcPr>
            <w:tcW w:w="967" w:type="dxa"/>
          </w:tcPr>
          <w:p>
            <w:pPr>
              <w:numPr>
                <w:ilvl w:val="255"/>
                <w:numId w:val="0"/>
              </w:numPr>
              <w:jc w:val="center"/>
              <w:rPr>
                <w:lang w:val="en-US" w:eastAsia="zh-CN"/>
              </w:rPr>
            </w:pPr>
            <w:r>
              <w:rPr>
                <w:rFonts w:hint="eastAsia"/>
              </w:rPr>
              <w:t>NaN</w:t>
            </w:r>
          </w:p>
        </w:tc>
        <w:tc>
          <w:tcPr>
            <w:tcW w:w="1019" w:type="dxa"/>
          </w:tcPr>
          <w:p>
            <w:pPr>
              <w:numPr>
                <w:ilvl w:val="255"/>
                <w:numId w:val="0"/>
              </w:numPr>
              <w:jc w:val="center"/>
              <w:rPr>
                <w:lang w:val="en-US" w:eastAsia="zh-CN"/>
              </w:rPr>
            </w:pPr>
            <w:r>
              <w:rPr>
                <w:rFonts w:hint="eastAsia"/>
              </w:rPr>
              <w:t>18.2</w:t>
            </w:r>
          </w:p>
        </w:tc>
        <w:tc>
          <w:tcPr>
            <w:tcW w:w="939" w:type="dxa"/>
          </w:tcPr>
          <w:p>
            <w:pPr>
              <w:numPr>
                <w:ilvl w:val="255"/>
                <w:numId w:val="0"/>
              </w:numPr>
              <w:jc w:val="center"/>
              <w:rPr>
                <w:lang w:val="en-US" w:eastAsia="zh-CN"/>
              </w:rPr>
            </w:pPr>
            <w:r>
              <w:rPr>
                <w:rFonts w:hint="eastAsia"/>
              </w:rP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Pr>
          <w:p>
            <w:pPr>
              <w:numPr>
                <w:ilvl w:val="255"/>
                <w:numId w:val="0"/>
              </w:numPr>
              <w:jc w:val="center"/>
              <w:rPr>
                <w:lang w:val="en-US" w:eastAsia="zh-CN"/>
              </w:rPr>
            </w:pPr>
            <w:r>
              <w:rPr>
                <w:rFonts w:hint="eastAsia"/>
              </w:rPr>
              <w:t>480kHz, K=1, ICI</w:t>
            </w:r>
          </w:p>
        </w:tc>
        <w:tc>
          <w:tcPr>
            <w:tcW w:w="967" w:type="dxa"/>
          </w:tcPr>
          <w:p>
            <w:pPr>
              <w:numPr>
                <w:ilvl w:val="255"/>
                <w:numId w:val="0"/>
              </w:numPr>
              <w:jc w:val="center"/>
              <w:rPr>
                <w:lang w:val="en-US" w:eastAsia="zh-CN"/>
              </w:rPr>
            </w:pPr>
            <w:r>
              <w:rPr>
                <w:rFonts w:hint="eastAsia"/>
              </w:rPr>
              <w:t>18.2</w:t>
            </w:r>
          </w:p>
        </w:tc>
        <w:tc>
          <w:tcPr>
            <w:tcW w:w="1019" w:type="dxa"/>
          </w:tcPr>
          <w:p>
            <w:pPr>
              <w:numPr>
                <w:ilvl w:val="255"/>
                <w:numId w:val="0"/>
              </w:numPr>
              <w:jc w:val="center"/>
              <w:rPr>
                <w:lang w:val="en-US" w:eastAsia="zh-CN"/>
              </w:rPr>
            </w:pPr>
            <w:r>
              <w:rPr>
                <w:rFonts w:hint="eastAsia"/>
              </w:rPr>
              <w:t>16.6</w:t>
            </w:r>
          </w:p>
        </w:tc>
        <w:tc>
          <w:tcPr>
            <w:tcW w:w="939" w:type="dxa"/>
          </w:tcPr>
          <w:p>
            <w:pPr>
              <w:numPr>
                <w:ilvl w:val="255"/>
                <w:numId w:val="0"/>
              </w:numPr>
              <w:jc w:val="center"/>
              <w:rPr>
                <w:lang w:val="en-US" w:eastAsia="zh-CN"/>
              </w:rPr>
            </w:pPr>
            <w:r>
              <w:rPr>
                <w:rFonts w:hint="eastAsia"/>
              </w:rPr>
              <w:t>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Pr>
          <w:p>
            <w:pPr>
              <w:numPr>
                <w:ilvl w:val="255"/>
                <w:numId w:val="0"/>
              </w:numPr>
              <w:jc w:val="center"/>
              <w:rPr>
                <w:lang w:val="en-US" w:eastAsia="zh-CN"/>
              </w:rPr>
            </w:pPr>
            <w:r>
              <w:rPr>
                <w:rFonts w:hint="eastAsia"/>
              </w:rPr>
              <w:t>480kHz, K=0.5, ICI</w:t>
            </w:r>
          </w:p>
        </w:tc>
        <w:tc>
          <w:tcPr>
            <w:tcW w:w="967" w:type="dxa"/>
          </w:tcPr>
          <w:p>
            <w:pPr>
              <w:numPr>
                <w:ilvl w:val="255"/>
                <w:numId w:val="0"/>
              </w:numPr>
              <w:jc w:val="center"/>
              <w:rPr>
                <w:lang w:val="en-US" w:eastAsia="zh-CN"/>
              </w:rPr>
            </w:pPr>
            <w:r>
              <w:rPr>
                <w:rFonts w:hint="eastAsia"/>
              </w:rPr>
              <w:t>16.3</w:t>
            </w:r>
          </w:p>
        </w:tc>
        <w:tc>
          <w:tcPr>
            <w:tcW w:w="1019" w:type="dxa"/>
          </w:tcPr>
          <w:p>
            <w:pPr>
              <w:numPr>
                <w:ilvl w:val="255"/>
                <w:numId w:val="0"/>
              </w:numPr>
              <w:jc w:val="center"/>
              <w:rPr>
                <w:lang w:val="en-US" w:eastAsia="zh-CN"/>
              </w:rPr>
            </w:pPr>
            <w:r>
              <w:rPr>
                <w:rFonts w:hint="eastAsia"/>
              </w:rPr>
              <w:t>16.3</w:t>
            </w:r>
          </w:p>
        </w:tc>
        <w:tc>
          <w:tcPr>
            <w:tcW w:w="939" w:type="dxa"/>
          </w:tcPr>
          <w:p>
            <w:pPr>
              <w:numPr>
                <w:ilvl w:val="255"/>
                <w:numId w:val="0"/>
              </w:numPr>
              <w:jc w:val="center"/>
              <w:rPr>
                <w:lang w:val="en-US" w:eastAsia="zh-CN"/>
              </w:rPr>
            </w:pPr>
            <w:r>
              <w:rPr>
                <w:rFonts w:hint="eastAsia"/>
              </w:rPr>
              <w:t>16.5</w:t>
            </w:r>
          </w:p>
        </w:tc>
      </w:tr>
    </w:tbl>
    <w:p>
      <w:pPr>
        <w:numPr>
          <w:ilvl w:val="255"/>
          <w:numId w:val="0"/>
        </w:numPr>
        <w:rPr>
          <w:lang w:val="en-US" w:eastAsia="zh-CN"/>
        </w:rPr>
      </w:pPr>
    </w:p>
    <w:p>
      <w:pPr>
        <w:pStyle w:val="4"/>
        <w:numPr>
          <w:ilvl w:val="2"/>
          <w:numId w:val="0"/>
        </w:numPr>
        <w:rPr>
          <w:lang w:val="en-US" w:eastAsia="zh-CN"/>
        </w:rPr>
      </w:pPr>
      <w:r>
        <w:rPr>
          <w:rFonts w:hint="eastAsia"/>
          <w:lang w:val="en-US" w:eastAsia="zh-CN"/>
        </w:rPr>
        <w:t>A1-6. PTRS density for DFT-s-OFDM</w:t>
      </w:r>
    </w:p>
    <w:p>
      <w:pPr>
        <w:numPr>
          <w:ilvl w:val="255"/>
          <w:numId w:val="0"/>
        </w:numPr>
        <w:jc w:val="center"/>
        <w:rPr>
          <w:lang w:val="en-US" w:eastAsia="zh-CN"/>
        </w:rPr>
      </w:pPr>
      <w:r>
        <w:rPr>
          <w:rFonts w:hint="eastAsia"/>
          <w:lang w:val="en-US" w:eastAsia="zh-CN"/>
        </w:rPr>
        <w:t xml:space="preserve">Table A1-6 </w:t>
      </w:r>
      <w:r>
        <w:t>SINR in dB achieving P</w:t>
      </w:r>
      <w:r>
        <w:rPr>
          <w:rFonts w:hint="eastAsia" w:eastAsia="宋体"/>
          <w:lang w:val="en-US" w:eastAsia="zh-CN"/>
        </w:rPr>
        <w:t>U</w:t>
      </w:r>
      <w:r>
        <w:t>SCH BLER of 10%</w:t>
      </w:r>
    </w:p>
    <w:tbl>
      <w:tblPr>
        <w:tblStyle w:val="26"/>
        <w:tblW w:w="49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3"/>
        <w:gridCol w:w="1184"/>
        <w:gridCol w:w="1224"/>
        <w:gridCol w:w="1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3" w:type="dxa"/>
            <w:vAlign w:val="center"/>
          </w:tcPr>
          <w:p>
            <w:pPr>
              <w:numPr>
                <w:ilvl w:val="255"/>
                <w:numId w:val="0"/>
              </w:numPr>
              <w:jc w:val="center"/>
              <w:rPr>
                <w:sz w:val="21"/>
                <w:szCs w:val="22"/>
                <w:lang w:val="en-US" w:eastAsia="zh-CN"/>
              </w:rPr>
            </w:pPr>
          </w:p>
        </w:tc>
        <w:tc>
          <w:tcPr>
            <w:tcW w:w="1184" w:type="dxa"/>
            <w:vAlign w:val="center"/>
          </w:tcPr>
          <w:p>
            <w:pPr>
              <w:numPr>
                <w:ilvl w:val="255"/>
                <w:numId w:val="0"/>
              </w:numPr>
              <w:jc w:val="center"/>
              <w:rPr>
                <w:sz w:val="21"/>
                <w:szCs w:val="22"/>
                <w:lang w:val="en-US" w:eastAsia="zh-CN"/>
              </w:rPr>
            </w:pPr>
            <w:r>
              <w:rPr>
                <w:rFonts w:hint="eastAsia"/>
                <w:sz w:val="21"/>
                <w:szCs w:val="22"/>
                <w:lang w:val="en-US" w:eastAsia="zh-CN"/>
              </w:rPr>
              <w:t>5 ns DS</w:t>
            </w:r>
          </w:p>
        </w:tc>
        <w:tc>
          <w:tcPr>
            <w:tcW w:w="1224" w:type="dxa"/>
            <w:vAlign w:val="center"/>
          </w:tcPr>
          <w:p>
            <w:pPr>
              <w:numPr>
                <w:ilvl w:val="255"/>
                <w:numId w:val="0"/>
              </w:numPr>
              <w:jc w:val="center"/>
              <w:rPr>
                <w:sz w:val="21"/>
                <w:szCs w:val="22"/>
                <w:lang w:val="en-US" w:eastAsia="zh-CN"/>
              </w:rPr>
            </w:pPr>
            <w:r>
              <w:rPr>
                <w:rFonts w:hint="eastAsia"/>
                <w:sz w:val="21"/>
                <w:szCs w:val="22"/>
                <w:lang w:val="en-US" w:eastAsia="zh-CN"/>
              </w:rPr>
              <w:t>10 ns DS</w:t>
            </w:r>
          </w:p>
        </w:tc>
        <w:tc>
          <w:tcPr>
            <w:tcW w:w="1176" w:type="dxa"/>
            <w:vAlign w:val="center"/>
          </w:tcPr>
          <w:p>
            <w:pPr>
              <w:numPr>
                <w:ilvl w:val="255"/>
                <w:numId w:val="0"/>
              </w:numPr>
              <w:jc w:val="center"/>
              <w:rPr>
                <w:sz w:val="21"/>
                <w:szCs w:val="22"/>
                <w:lang w:val="en-US" w:eastAsia="zh-CN"/>
              </w:rPr>
            </w:pPr>
            <w:r>
              <w:rPr>
                <w:rFonts w:hint="eastAsia"/>
                <w:sz w:val="21"/>
                <w:szCs w:val="22"/>
                <w:lang w:val="en-US" w:eastAsia="zh-CN"/>
              </w:rPr>
              <w:t>20 ns 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3" w:type="dxa"/>
            <w:vAlign w:val="center"/>
          </w:tcPr>
          <w:p>
            <w:pPr>
              <w:numPr>
                <w:ilvl w:val="255"/>
                <w:numId w:val="0"/>
              </w:numPr>
              <w:jc w:val="center"/>
              <w:rPr>
                <w:sz w:val="21"/>
                <w:szCs w:val="22"/>
                <w:lang w:val="en-US" w:eastAsia="zh-CN"/>
              </w:rPr>
            </w:pPr>
            <w:r>
              <w:rPr>
                <w:rFonts w:hint="eastAsia"/>
                <w:sz w:val="21"/>
                <w:szCs w:val="22"/>
                <w:lang w:val="en-US" w:eastAsia="zh-CN"/>
              </w:rPr>
              <w:t>Ng=8,Ns=4</w:t>
            </w:r>
          </w:p>
        </w:tc>
        <w:tc>
          <w:tcPr>
            <w:tcW w:w="1184" w:type="dxa"/>
            <w:vAlign w:val="center"/>
          </w:tcPr>
          <w:p>
            <w:pPr>
              <w:numPr>
                <w:ilvl w:val="255"/>
                <w:numId w:val="0"/>
              </w:numPr>
              <w:jc w:val="center"/>
              <w:rPr>
                <w:sz w:val="21"/>
                <w:szCs w:val="22"/>
                <w:lang w:val="en-US" w:eastAsia="zh-CN"/>
              </w:rPr>
            </w:pPr>
            <w:r>
              <w:rPr>
                <w:rFonts w:hint="eastAsia"/>
                <w:sz w:val="21"/>
                <w:szCs w:val="22"/>
                <w:lang w:val="en-US" w:eastAsia="zh-CN"/>
              </w:rPr>
              <w:t>22.12</w:t>
            </w:r>
          </w:p>
        </w:tc>
        <w:tc>
          <w:tcPr>
            <w:tcW w:w="1224" w:type="dxa"/>
            <w:vAlign w:val="center"/>
          </w:tcPr>
          <w:p>
            <w:pPr>
              <w:numPr>
                <w:ilvl w:val="255"/>
                <w:numId w:val="0"/>
              </w:numPr>
              <w:jc w:val="center"/>
              <w:rPr>
                <w:sz w:val="21"/>
                <w:szCs w:val="22"/>
                <w:lang w:val="en-US" w:eastAsia="zh-CN"/>
              </w:rPr>
            </w:pPr>
            <w:r>
              <w:rPr>
                <w:rFonts w:hint="eastAsia"/>
                <w:sz w:val="21"/>
                <w:szCs w:val="22"/>
                <w:lang w:val="en-US" w:eastAsia="zh-CN"/>
              </w:rPr>
              <w:t>22.17</w:t>
            </w:r>
          </w:p>
        </w:tc>
        <w:tc>
          <w:tcPr>
            <w:tcW w:w="1176" w:type="dxa"/>
            <w:vAlign w:val="center"/>
          </w:tcPr>
          <w:p>
            <w:pPr>
              <w:numPr>
                <w:ilvl w:val="255"/>
                <w:numId w:val="0"/>
              </w:numPr>
              <w:jc w:val="center"/>
              <w:rPr>
                <w:sz w:val="21"/>
                <w:szCs w:val="22"/>
                <w:lang w:val="en-US" w:eastAsia="zh-CN"/>
              </w:rPr>
            </w:pPr>
            <w:r>
              <w:rPr>
                <w:rFonts w:hint="eastAsia"/>
                <w:sz w:val="21"/>
                <w:szCs w:val="22"/>
                <w:lang w:val="en-US" w:eastAsia="zh-CN"/>
              </w:rPr>
              <w:t>26.11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3" w:type="dxa"/>
            <w:vAlign w:val="center"/>
          </w:tcPr>
          <w:p>
            <w:pPr>
              <w:numPr>
                <w:ilvl w:val="255"/>
                <w:numId w:val="0"/>
              </w:numPr>
              <w:jc w:val="center"/>
              <w:rPr>
                <w:sz w:val="21"/>
                <w:szCs w:val="22"/>
                <w:lang w:val="en-US" w:eastAsia="zh-CN"/>
              </w:rPr>
            </w:pPr>
            <w:r>
              <w:rPr>
                <w:rFonts w:hint="eastAsia"/>
                <w:sz w:val="21"/>
                <w:szCs w:val="22"/>
                <w:lang w:val="en-US" w:eastAsia="zh-CN"/>
              </w:rPr>
              <w:t>Ng=16,Ns=2</w:t>
            </w:r>
          </w:p>
        </w:tc>
        <w:tc>
          <w:tcPr>
            <w:tcW w:w="1184" w:type="dxa"/>
            <w:vAlign w:val="center"/>
          </w:tcPr>
          <w:p>
            <w:pPr>
              <w:numPr>
                <w:ilvl w:val="255"/>
                <w:numId w:val="0"/>
              </w:numPr>
              <w:jc w:val="center"/>
              <w:rPr>
                <w:sz w:val="21"/>
                <w:szCs w:val="22"/>
                <w:lang w:val="en-US" w:eastAsia="zh-CN"/>
              </w:rPr>
            </w:pPr>
            <w:r>
              <w:rPr>
                <w:rFonts w:hint="eastAsia"/>
                <w:sz w:val="21"/>
                <w:szCs w:val="22"/>
                <w:lang w:val="en-US" w:eastAsia="zh-CN"/>
              </w:rPr>
              <w:t>21.62</w:t>
            </w:r>
          </w:p>
        </w:tc>
        <w:tc>
          <w:tcPr>
            <w:tcW w:w="1224" w:type="dxa"/>
            <w:vAlign w:val="center"/>
          </w:tcPr>
          <w:p>
            <w:pPr>
              <w:numPr>
                <w:ilvl w:val="255"/>
                <w:numId w:val="0"/>
              </w:numPr>
              <w:jc w:val="center"/>
              <w:rPr>
                <w:sz w:val="21"/>
                <w:szCs w:val="22"/>
                <w:lang w:val="en-US" w:eastAsia="zh-CN"/>
              </w:rPr>
            </w:pPr>
            <w:r>
              <w:rPr>
                <w:rFonts w:hint="eastAsia"/>
                <w:sz w:val="21"/>
                <w:szCs w:val="22"/>
                <w:lang w:val="en-US" w:eastAsia="zh-CN"/>
              </w:rPr>
              <w:t>21.43</w:t>
            </w:r>
          </w:p>
        </w:tc>
        <w:tc>
          <w:tcPr>
            <w:tcW w:w="1176" w:type="dxa"/>
            <w:vAlign w:val="center"/>
          </w:tcPr>
          <w:p>
            <w:pPr>
              <w:numPr>
                <w:ilvl w:val="255"/>
                <w:numId w:val="0"/>
              </w:numPr>
              <w:jc w:val="center"/>
              <w:rPr>
                <w:sz w:val="21"/>
                <w:szCs w:val="22"/>
                <w:lang w:val="en-US" w:eastAsia="zh-CN"/>
              </w:rPr>
            </w:pPr>
            <w:r>
              <w:rPr>
                <w:rFonts w:hint="eastAsia"/>
                <w:sz w:val="21"/>
                <w:szCs w:val="22"/>
                <w:lang w:val="en-US" w:eastAsia="zh-CN"/>
              </w:rPr>
              <w:t>21.43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3" w:type="dxa"/>
            <w:vAlign w:val="center"/>
          </w:tcPr>
          <w:p>
            <w:pPr>
              <w:numPr>
                <w:ilvl w:val="255"/>
                <w:numId w:val="0"/>
              </w:numPr>
              <w:jc w:val="center"/>
              <w:rPr>
                <w:sz w:val="21"/>
                <w:szCs w:val="22"/>
                <w:lang w:val="en-US" w:eastAsia="zh-CN"/>
              </w:rPr>
            </w:pPr>
            <w:r>
              <w:rPr>
                <w:rFonts w:hint="eastAsia"/>
                <w:sz w:val="21"/>
                <w:szCs w:val="22"/>
                <w:lang w:val="en-US" w:eastAsia="zh-CN"/>
              </w:rPr>
              <w:t>Ng=16,Ns=4</w:t>
            </w:r>
          </w:p>
        </w:tc>
        <w:tc>
          <w:tcPr>
            <w:tcW w:w="1184" w:type="dxa"/>
            <w:vAlign w:val="center"/>
          </w:tcPr>
          <w:p>
            <w:pPr>
              <w:numPr>
                <w:ilvl w:val="255"/>
                <w:numId w:val="0"/>
              </w:numPr>
              <w:jc w:val="center"/>
              <w:rPr>
                <w:sz w:val="21"/>
                <w:szCs w:val="22"/>
                <w:lang w:val="en-US" w:eastAsia="zh-CN"/>
              </w:rPr>
            </w:pPr>
            <w:r>
              <w:rPr>
                <w:rFonts w:hint="eastAsia"/>
                <w:sz w:val="21"/>
                <w:szCs w:val="22"/>
                <w:lang w:val="en-US" w:eastAsia="zh-CN"/>
              </w:rPr>
              <w:t>20.18</w:t>
            </w:r>
          </w:p>
        </w:tc>
        <w:tc>
          <w:tcPr>
            <w:tcW w:w="1224" w:type="dxa"/>
            <w:vAlign w:val="center"/>
          </w:tcPr>
          <w:p>
            <w:pPr>
              <w:numPr>
                <w:ilvl w:val="255"/>
                <w:numId w:val="0"/>
              </w:numPr>
              <w:jc w:val="center"/>
              <w:rPr>
                <w:sz w:val="21"/>
                <w:szCs w:val="22"/>
                <w:lang w:val="en-US" w:eastAsia="zh-CN"/>
              </w:rPr>
            </w:pPr>
            <w:r>
              <w:rPr>
                <w:rFonts w:hint="eastAsia"/>
                <w:sz w:val="21"/>
                <w:szCs w:val="22"/>
                <w:lang w:val="en-US" w:eastAsia="zh-CN"/>
              </w:rPr>
              <w:t>19.73</w:t>
            </w:r>
          </w:p>
        </w:tc>
        <w:tc>
          <w:tcPr>
            <w:tcW w:w="1176" w:type="dxa"/>
            <w:vAlign w:val="center"/>
          </w:tcPr>
          <w:p>
            <w:pPr>
              <w:numPr>
                <w:ilvl w:val="255"/>
                <w:numId w:val="0"/>
              </w:numPr>
              <w:jc w:val="center"/>
              <w:rPr>
                <w:sz w:val="21"/>
                <w:szCs w:val="22"/>
                <w:lang w:val="en-US" w:eastAsia="zh-CN"/>
              </w:rPr>
            </w:pPr>
            <w:r>
              <w:rPr>
                <w:rFonts w:hint="eastAsia"/>
                <w:sz w:val="21"/>
                <w:szCs w:val="22"/>
                <w:lang w:val="en-US" w:eastAsia="zh-CN"/>
              </w:rPr>
              <w:t>19.73</w:t>
            </w:r>
          </w:p>
        </w:tc>
      </w:tr>
    </w:tbl>
    <w:p>
      <w:pPr>
        <w:numPr>
          <w:ilvl w:val="255"/>
          <w:numId w:val="0"/>
        </w:numPr>
        <w:rPr>
          <w:lang w:val="en-US" w:eastAsia="zh-CN"/>
        </w:rPr>
      </w:pPr>
    </w:p>
    <w:p/>
    <w:p>
      <w:pPr>
        <w:widowControl w:val="0"/>
        <w:snapToGrid w:val="0"/>
        <w:spacing w:before="120" w:beforeLines="50" w:after="120" w:afterLines="50" w:line="240" w:lineRule="auto"/>
        <w:jc w:val="both"/>
        <w:rPr>
          <w:rFonts w:eastAsia="宋体"/>
          <w:lang w:val="en-US" w:eastAsia="zh-CN"/>
        </w:rPr>
      </w:pPr>
    </w:p>
    <w:p>
      <w:pPr>
        <w:pStyle w:val="3"/>
        <w:numPr>
          <w:ilvl w:val="1"/>
          <w:numId w:val="0"/>
        </w:numPr>
        <w:rPr>
          <w:lang w:val="en-US" w:eastAsia="zh-CN"/>
        </w:rPr>
      </w:pPr>
      <w:r>
        <w:rPr>
          <w:rFonts w:hint="eastAsia"/>
          <w:lang w:val="en-US" w:eastAsia="zh-CN"/>
        </w:rPr>
        <w:t>A2. Simulation assumption</w:t>
      </w:r>
    </w:p>
    <w:p>
      <w:pPr>
        <w:jc w:val="center"/>
        <w:rPr>
          <w:lang w:val="en-US" w:eastAsia="zh-CN"/>
        </w:rPr>
      </w:pPr>
      <w:r>
        <w:rPr>
          <w:rFonts w:hint="eastAsia"/>
          <w:lang w:val="en-US" w:eastAsia="zh-CN"/>
        </w:rPr>
        <w:t>Table A2-1 Link level simulation assumption</w:t>
      </w:r>
    </w:p>
    <w:tbl>
      <w:tblPr>
        <w:tblStyle w:val="26"/>
        <w:tblW w:w="66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5"/>
        <w:gridCol w:w="34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pStyle w:val="47"/>
              <w:snapToGrid w:val="0"/>
              <w:rPr>
                <w:lang w:val="en-US"/>
              </w:rPr>
            </w:pPr>
            <w:r>
              <w:rPr>
                <w:szCs w:val="22"/>
                <w:lang w:val="en-US"/>
              </w:rPr>
              <w:t>Parameters</w:t>
            </w:r>
          </w:p>
        </w:tc>
        <w:tc>
          <w:tcPr>
            <w:tcW w:w="3419" w:type="dxa"/>
          </w:tcPr>
          <w:p>
            <w:pPr>
              <w:pStyle w:val="47"/>
              <w:snapToGrid w:val="0"/>
              <w:rPr>
                <w:lang w:val="en-US" w:eastAsia="zh-CN"/>
              </w:rPr>
            </w:pPr>
            <w:r>
              <w:rPr>
                <w:rFonts w:hint="eastAsia"/>
                <w:szCs w:val="22"/>
                <w:lang w:val="en-US" w:eastAsia="zh-CN"/>
              </w:rPr>
              <w:t>Values or 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Carrier Frequency</w:t>
            </w:r>
          </w:p>
        </w:tc>
        <w:tc>
          <w:tcPr>
            <w:tcW w:w="3419" w:type="dxa"/>
          </w:tcPr>
          <w:p>
            <w:pPr>
              <w:snapToGrid w:val="0"/>
              <w:spacing w:after="0"/>
              <w:rPr>
                <w:rFonts w:eastAsia="宋体"/>
                <w:lang w:val="en-US" w:eastAsia="zh-CN"/>
              </w:rPr>
            </w:pPr>
            <w:r>
              <w:rPr>
                <w:rFonts w:hint="eastAsia" w:eastAsia="宋体"/>
                <w:lang w:val="en-US" w:eastAsia="zh-CN"/>
              </w:rPr>
              <w:t>60GHz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lang w:val="en-US"/>
              </w:rPr>
            </w:pPr>
            <w:r>
              <w:rPr>
                <w:rFonts w:hint="eastAsia" w:eastAsia="宋体"/>
                <w:lang w:val="en-US" w:eastAsia="zh-CN"/>
              </w:rPr>
              <w:t>Waveform</w:t>
            </w:r>
          </w:p>
        </w:tc>
        <w:tc>
          <w:tcPr>
            <w:tcW w:w="3419" w:type="dxa"/>
          </w:tcPr>
          <w:p>
            <w:pPr>
              <w:snapToGrid w:val="0"/>
              <w:spacing w:after="0"/>
              <w:rPr>
                <w:rFonts w:eastAsia="宋体"/>
                <w:lang w:val="en-US" w:eastAsia="zh-CN"/>
              </w:rPr>
            </w:pPr>
            <w:r>
              <w:rPr>
                <w:rFonts w:hint="eastAsia" w:eastAsia="宋体"/>
                <w:lang w:val="en-US" w:eastAsia="zh-CN"/>
              </w:rPr>
              <w:t>CP-OFDM/DFT-s-OFDM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rFonts w:eastAsia="宋体"/>
                <w:lang w:val="en-US" w:eastAsia="zh-CN"/>
              </w:rPr>
            </w:pPr>
            <w:r>
              <w:rPr>
                <w:rFonts w:hint="eastAsia" w:eastAsia="宋体"/>
                <w:lang w:val="en-US" w:eastAsia="zh-CN"/>
              </w:rPr>
              <w:t>Allocated PRB number</w:t>
            </w:r>
          </w:p>
        </w:tc>
        <w:tc>
          <w:tcPr>
            <w:tcW w:w="3419" w:type="dxa"/>
          </w:tcPr>
          <w:p>
            <w:pPr>
              <w:snapToGrid w:val="0"/>
              <w:spacing w:after="0"/>
              <w:rPr>
                <w:rFonts w:eastAsia="宋体"/>
                <w:lang w:val="en-US" w:eastAsia="zh-CN"/>
              </w:rPr>
            </w:pPr>
            <w:r>
              <w:rPr>
                <w:rFonts w:hint="eastAsia" w:eastAsia="宋体"/>
                <w:lang w:val="en-US" w:eastAsia="zh-CN"/>
              </w:rPr>
              <w:t>256 if not specified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rFonts w:eastAsia="宋体"/>
                <w:lang w:val="en-US" w:eastAsia="zh-CN"/>
              </w:rPr>
            </w:pPr>
            <w:r>
              <w:rPr>
                <w:rFonts w:hint="eastAsia" w:eastAsia="宋体"/>
                <w:lang w:val="en-US" w:eastAsia="zh-CN"/>
              </w:rPr>
              <w:t>Subcarrier spacing</w:t>
            </w:r>
          </w:p>
        </w:tc>
        <w:tc>
          <w:tcPr>
            <w:tcW w:w="3419" w:type="dxa"/>
          </w:tcPr>
          <w:p>
            <w:pPr>
              <w:snapToGrid w:val="0"/>
              <w:spacing w:after="0"/>
              <w:rPr>
                <w:rFonts w:eastAsia="宋体"/>
                <w:lang w:val="en-US" w:eastAsia="zh-CN"/>
              </w:rPr>
            </w:pPr>
            <w:r>
              <w:rPr>
                <w:rFonts w:hint="eastAsia" w:eastAsia="宋体"/>
                <w:lang w:val="en-US" w:eastAsia="zh-CN"/>
              </w:rPr>
              <w:t>120kHz/480kHz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rFonts w:eastAsia="宋体"/>
                <w:lang w:val="en-US" w:eastAsia="zh-CN"/>
              </w:rPr>
            </w:pPr>
            <w:r>
              <w:rPr>
                <w:rFonts w:hint="eastAsia" w:eastAsia="宋体"/>
                <w:lang w:val="en-US" w:eastAsia="zh-CN"/>
              </w:rPr>
              <w:t>MCS</w:t>
            </w:r>
          </w:p>
        </w:tc>
        <w:tc>
          <w:tcPr>
            <w:tcW w:w="3419" w:type="dxa"/>
          </w:tcPr>
          <w:p>
            <w:pPr>
              <w:snapToGrid w:val="0"/>
              <w:spacing w:after="0"/>
              <w:rPr>
                <w:rFonts w:eastAsia="宋体"/>
                <w:lang w:val="en-US" w:eastAsia="zh-CN"/>
              </w:rPr>
            </w:pPr>
            <w:r>
              <w:rPr>
                <w:rFonts w:hint="eastAsia" w:eastAsia="宋体"/>
                <w:lang w:val="en-US" w:eastAsia="zh-CN"/>
              </w:rPr>
              <w:t>MCS 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rFonts w:eastAsia="宋体"/>
                <w:lang w:val="en-US" w:eastAsia="zh-CN"/>
              </w:rPr>
            </w:pPr>
            <w:r>
              <w:rPr>
                <w:rFonts w:hint="eastAsia" w:eastAsia="宋体"/>
                <w:lang w:val="en-US" w:eastAsia="zh-CN"/>
              </w:rPr>
              <w:t>CP type</w:t>
            </w:r>
          </w:p>
        </w:tc>
        <w:tc>
          <w:tcPr>
            <w:tcW w:w="3419" w:type="dxa"/>
          </w:tcPr>
          <w:p>
            <w:pPr>
              <w:snapToGrid w:val="0"/>
              <w:spacing w:after="0"/>
              <w:rPr>
                <w:rFonts w:eastAsia="宋体"/>
                <w:lang w:val="en-US" w:eastAsia="zh-CN"/>
              </w:rPr>
            </w:pPr>
            <w:r>
              <w:rPr>
                <w:rFonts w:hint="eastAsia" w:eastAsia="宋体"/>
                <w:lang w:val="en-US" w:eastAsia="zh-CN"/>
              </w:rPr>
              <w:t>Normal CP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Channel Model</w:t>
            </w:r>
          </w:p>
        </w:tc>
        <w:tc>
          <w:tcPr>
            <w:tcW w:w="3419" w:type="dxa"/>
          </w:tcPr>
          <w:p>
            <w:pPr>
              <w:snapToGrid w:val="0"/>
              <w:spacing w:after="0"/>
              <w:rPr>
                <w:rFonts w:eastAsia="宋体"/>
                <w:lang w:val="en-US" w:eastAsia="zh-CN"/>
              </w:rPr>
            </w:pPr>
            <w:r>
              <w:rPr>
                <w:rFonts w:hint="eastAsia" w:eastAsia="宋体"/>
                <w:lang w:val="en-US" w:eastAsia="zh-CN"/>
              </w:rPr>
              <w:t>TDL-A 5ns/10ns/20ns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rFonts w:eastAsia="宋体"/>
                <w:lang w:val="en-US" w:eastAsia="zh-CN"/>
              </w:rPr>
            </w:pPr>
            <w:r>
              <w:rPr>
                <w:rFonts w:hint="eastAsia" w:eastAsia="宋体"/>
                <w:lang w:val="en-US" w:eastAsia="zh-CN"/>
              </w:rPr>
              <w:t>PN model</w:t>
            </w:r>
          </w:p>
        </w:tc>
        <w:tc>
          <w:tcPr>
            <w:tcW w:w="3419" w:type="dxa"/>
          </w:tcPr>
          <w:p>
            <w:pPr>
              <w:snapToGrid w:val="0"/>
              <w:spacing w:after="0"/>
              <w:rPr>
                <w:rFonts w:eastAsia="宋体"/>
                <w:lang w:val="en-US" w:eastAsia="zh-CN"/>
              </w:rPr>
            </w:pPr>
            <w:r>
              <w:rPr>
                <w:rFonts w:eastAsia="宋体"/>
                <w:lang w:val="en-US" w:eastAsia="zh-CN"/>
              </w:rPr>
              <w:t>3GPP TR38.803 example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lang w:val="en-US"/>
              </w:rPr>
            </w:pPr>
            <w:r>
              <w:rPr>
                <w:rFonts w:hint="eastAsia" w:eastAsia="宋体"/>
                <w:lang w:val="en-US" w:eastAsia="zh-CN"/>
              </w:rPr>
              <w:t>DMRS</w:t>
            </w:r>
            <w:r>
              <w:rPr>
                <w:lang w:val="en-US"/>
              </w:rPr>
              <w:t xml:space="preserve"> Configuration</w:t>
            </w:r>
          </w:p>
        </w:tc>
        <w:tc>
          <w:tcPr>
            <w:tcW w:w="3419" w:type="dxa"/>
          </w:tcPr>
          <w:p>
            <w:pPr>
              <w:snapToGrid w:val="0"/>
              <w:spacing w:after="0"/>
              <w:rPr>
                <w:lang w:val="en-US"/>
              </w:rPr>
            </w:pPr>
            <w:r>
              <w:rPr>
                <w:lang w:val="en-US" w:eastAsia="zh-CN"/>
              </w:rPr>
              <w:t>2 DMRS symbols per slot at (2,11)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PTRS Configuration</w:t>
            </w:r>
          </w:p>
        </w:tc>
        <w:tc>
          <w:tcPr>
            <w:tcW w:w="3419" w:type="dxa"/>
          </w:tcPr>
          <w:p>
            <w:pPr>
              <w:snapToGrid w:val="0"/>
              <w:spacing w:after="0"/>
              <w:rPr>
                <w:rFonts w:eastAsia="宋体"/>
                <w:lang w:val="en-US" w:eastAsia="zh-CN"/>
              </w:rPr>
            </w:pPr>
            <w:r>
              <w:rPr>
                <w:rFonts w:eastAsia="宋体"/>
                <w:lang w:val="en-US" w:eastAsia="zh-CN"/>
              </w:rPr>
              <w:t>(K = 2, L = 1)</w:t>
            </w:r>
            <w:r>
              <w:rPr>
                <w:rFonts w:hint="eastAsia" w:eastAsia="宋体"/>
                <w:lang w:val="en-US" w:eastAsia="zh-CN"/>
              </w:rPr>
              <w:t xml:space="preserve"> if not specified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SLIV</w:t>
            </w:r>
          </w:p>
        </w:tc>
        <w:tc>
          <w:tcPr>
            <w:tcW w:w="3419" w:type="dxa"/>
          </w:tcPr>
          <w:p>
            <w:pPr>
              <w:snapToGrid w:val="0"/>
              <w:spacing w:after="0"/>
              <w:rPr>
                <w:rFonts w:eastAsia="宋体"/>
                <w:lang w:val="en-US" w:eastAsia="zh-CN"/>
              </w:rPr>
            </w:pPr>
            <w:r>
              <w:rPr>
                <w:rFonts w:eastAsia="宋体"/>
                <w:lang w:val="en-US" w:eastAsia="zh-CN"/>
              </w:rPr>
              <w:t>(S=</w:t>
            </w:r>
            <w:r>
              <w:rPr>
                <w:rFonts w:hint="eastAsia" w:eastAsia="宋体"/>
                <w:lang w:val="en-US" w:eastAsia="zh-CN"/>
              </w:rPr>
              <w:t>2</w:t>
            </w:r>
            <w:r>
              <w:rPr>
                <w:rFonts w:eastAsia="宋体"/>
                <w:lang w:val="en-US" w:eastAsia="zh-CN"/>
              </w:rPr>
              <w:t>, L=14)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Channel Estimation</w:t>
            </w:r>
          </w:p>
        </w:tc>
        <w:tc>
          <w:tcPr>
            <w:tcW w:w="3419" w:type="dxa"/>
          </w:tcPr>
          <w:p>
            <w:pPr>
              <w:snapToGrid w:val="0"/>
              <w:spacing w:after="0"/>
              <w:rPr>
                <w:rFonts w:eastAsia="宋体"/>
                <w:lang w:val="en-US" w:eastAsia="zh-CN"/>
              </w:rPr>
            </w:pPr>
            <w:r>
              <w:rPr>
                <w:rFonts w:hint="eastAsia" w:eastAsia="宋体"/>
                <w:lang w:val="en-US" w:eastAsia="zh-CN"/>
              </w:rPr>
              <w:t>Realistic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lang w:val="en-US"/>
              </w:rPr>
            </w:pPr>
            <w:r>
              <w:rPr>
                <w:rFonts w:hint="eastAsia" w:eastAsia="宋体"/>
                <w:lang w:val="en-US" w:eastAsia="zh-CN"/>
              </w:rPr>
              <w:t>PN</w:t>
            </w:r>
            <w:r>
              <w:rPr>
                <w:lang w:val="en-US"/>
              </w:rPr>
              <w:t xml:space="preserve"> Estimation</w:t>
            </w:r>
          </w:p>
        </w:tc>
        <w:tc>
          <w:tcPr>
            <w:tcW w:w="3419" w:type="dxa"/>
          </w:tcPr>
          <w:p>
            <w:pPr>
              <w:snapToGrid w:val="0"/>
              <w:spacing w:after="0"/>
              <w:rPr>
                <w:rFonts w:eastAsia="宋体"/>
                <w:lang w:val="en-US" w:eastAsia="zh-CN"/>
              </w:rPr>
            </w:pPr>
            <w:r>
              <w:rPr>
                <w:rFonts w:hint="eastAsia" w:eastAsia="宋体"/>
                <w:lang w:val="en-US" w:eastAsia="zh-CN"/>
              </w:rPr>
              <w:t>Realistic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rFonts w:eastAsia="宋体"/>
                <w:lang w:val="en-US" w:eastAsia="zh-CN"/>
              </w:rPr>
            </w:pPr>
            <w:r>
              <w:rPr>
                <w:rFonts w:hint="eastAsia" w:eastAsia="宋体"/>
                <w:lang w:val="en-US" w:eastAsia="zh-CN"/>
              </w:rPr>
              <w:t>PN compensation</w:t>
            </w:r>
          </w:p>
        </w:tc>
        <w:tc>
          <w:tcPr>
            <w:tcW w:w="3419" w:type="dxa"/>
          </w:tcPr>
          <w:p>
            <w:pPr>
              <w:snapToGrid w:val="0"/>
              <w:spacing w:after="0"/>
              <w:rPr>
                <w:rFonts w:eastAsia="宋体"/>
                <w:lang w:val="en-US" w:eastAsia="zh-CN"/>
              </w:rPr>
            </w:pPr>
            <w:r>
              <w:rPr>
                <w:rFonts w:hint="eastAsia" w:eastAsia="宋体"/>
                <w:lang w:val="en-US" w:eastAsia="zh-CN"/>
              </w:rPr>
              <w:t>CPE &amp; ICI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UE receiver</w:t>
            </w:r>
          </w:p>
        </w:tc>
        <w:tc>
          <w:tcPr>
            <w:tcW w:w="3419" w:type="dxa"/>
          </w:tcPr>
          <w:p>
            <w:pPr>
              <w:snapToGrid w:val="0"/>
              <w:spacing w:after="0"/>
              <w:rPr>
                <w:lang w:val="en-US"/>
              </w:rPr>
            </w:pPr>
            <w:r>
              <w:t>MMSE-IRC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BS antenna Array configuration</w:t>
            </w:r>
          </w:p>
        </w:tc>
        <w:tc>
          <w:tcPr>
            <w:tcW w:w="3419" w:type="dxa"/>
          </w:tcPr>
          <w:p>
            <w:pPr>
              <w:snapToGrid w:val="0"/>
              <w:spacing w:after="0"/>
              <w:rPr>
                <w:lang w:val="en-US"/>
              </w:rPr>
            </w:pPr>
            <w:r>
              <w:rPr>
                <w:rFonts w:hint="eastAsia" w:eastAsia="宋体"/>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UE antenna Array configuration</w:t>
            </w:r>
          </w:p>
        </w:tc>
        <w:tc>
          <w:tcPr>
            <w:tcW w:w="3419" w:type="dxa"/>
          </w:tcPr>
          <w:p>
            <w:pPr>
              <w:snapToGrid w:val="0"/>
              <w:spacing w:after="0"/>
              <w:rPr>
                <w:lang w:val="en-US"/>
              </w:rPr>
            </w:pPr>
            <w:r>
              <w:rPr>
                <w:rFonts w:hint="eastAsia" w:eastAsia="宋体"/>
                <w:lang w:val="en-US" w:eastAsia="zh-CN"/>
              </w:rPr>
              <w:t>2</w:t>
            </w:r>
          </w:p>
        </w:tc>
      </w:tr>
    </w:tbl>
    <w:p>
      <w:pPr>
        <w:rPr>
          <w:rFonts w:eastAsia="宋体"/>
          <w:lang w:val="en-US" w:eastAsia="zh-CN"/>
        </w:rPr>
      </w:pPr>
    </w:p>
    <w:p>
      <w:pPr>
        <w:widowControl w:val="0"/>
        <w:autoSpaceDE w:val="0"/>
        <w:autoSpaceDN w:val="0"/>
        <w:adjustRightInd w:val="0"/>
        <w:spacing w:before="120" w:beforeLines="50" w:after="120" w:afterLines="50" w:line="240" w:lineRule="auto"/>
        <w:jc w:val="both"/>
        <w:rPr>
          <w:rFonts w:eastAsia="宋体"/>
          <w:lang w:val="en-US" w:eastAsia="zh-CN"/>
        </w:rPr>
      </w:pPr>
    </w:p>
    <w:p>
      <w:pPr>
        <w:numPr>
          <w:ilvl w:val="255"/>
          <w:numId w:val="0"/>
        </w:numPr>
        <w:snapToGrid w:val="0"/>
        <w:spacing w:before="120" w:beforeLines="50" w:after="120" w:afterLines="50" w:line="240" w:lineRule="auto"/>
        <w:jc w:val="both"/>
        <w:rPr>
          <w:rFonts w:eastAsia="宋体"/>
          <w:lang w:val="en-US" w:eastAsia="zh-CN"/>
        </w:rPr>
      </w:pPr>
    </w:p>
    <w:p>
      <w:pPr>
        <w:widowControl w:val="0"/>
        <w:autoSpaceDE w:val="0"/>
        <w:autoSpaceDN w:val="0"/>
        <w:adjustRightInd w:val="0"/>
        <w:spacing w:before="120" w:beforeLines="50" w:after="120" w:afterLines="50" w:line="240" w:lineRule="auto"/>
        <w:jc w:val="both"/>
        <w:rPr>
          <w:rFonts w:eastAsia="宋体"/>
          <w:lang w:val="en-US" w:eastAsia="zh-CN"/>
        </w:rPr>
      </w:pPr>
    </w:p>
    <w:p>
      <w:pPr>
        <w:widowControl w:val="0"/>
        <w:autoSpaceDE w:val="0"/>
        <w:autoSpaceDN w:val="0"/>
        <w:adjustRightInd w:val="0"/>
        <w:spacing w:before="120" w:beforeLines="50" w:after="120" w:afterLines="50" w:line="240" w:lineRule="auto"/>
        <w:jc w:val="both"/>
        <w:rPr>
          <w:rFonts w:eastAsia="宋体"/>
          <w:lang w:val="en-US" w:eastAsia="zh-CN"/>
        </w:rPr>
      </w:pPr>
    </w:p>
    <w:sectPr>
      <w:footerReference r:id="rId3" w:type="default"/>
      <w:footerReference r:id="rId4" w:type="even"/>
      <w:footnotePr>
        <w:numRestart w:val="eachSect"/>
      </w:footnotePr>
      <w:pgSz w:w="12240" w:h="15840"/>
      <w:pgMar w:top="1418" w:right="1418" w:bottom="1418" w:left="1418" w:header="851" w:footer="340" w:gutter="0"/>
      <w:pgNumType w:start="1"/>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Batang">
    <w:altName w:val="Malgun Gothic"/>
    <w:panose1 w:val="02030600000101010101"/>
    <w:charset w:val="81"/>
    <w:family w:val="auto"/>
    <w:pitch w:val="default"/>
    <w:sig w:usb0="00000000" w:usb1="00000000" w:usb2="00000030" w:usb3="00000000" w:csb0="4008009F" w:csb1="DFD70000"/>
  </w:font>
  <w:font w:name="MS Mincho">
    <w:altName w:val="Yu Gothic UI"/>
    <w:panose1 w:val="02020609040205080304"/>
    <w:charset w:val="80"/>
    <w:family w:val="roman"/>
    <w:pitch w:val="default"/>
    <w:sig w:usb0="00000000" w:usb1="00000000" w:usb2="00000012" w:usb3="00000000" w:csb0="4002009F" w:csb1="DFD7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ZapfDingbats">
    <w:altName w:val="Segoe Print"/>
    <w:panose1 w:val="00000000000000000000"/>
    <w:charset w:val="02"/>
    <w:family w:val="decorative"/>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Gulim">
    <w:altName w:val="Malgun Gothic"/>
    <w:panose1 w:val="020B0600000101010101"/>
    <w:charset w:val="81"/>
    <w:family w:val="roman"/>
    <w:pitch w:val="default"/>
    <w:sig w:usb0="00000000" w:usb1="00000000" w:usb2="00000030" w:usb3="00000000" w:csb0="4008009F" w:csb1="DFD70000"/>
  </w:font>
  <w:font w:name="MS PMincho">
    <w:altName w:val="Yu Gothic UI"/>
    <w:panose1 w:val="02020600040205080304"/>
    <w:charset w:val="80"/>
    <w:family w:val="roman"/>
    <w:pitch w:val="default"/>
    <w:sig w:usb0="00000000" w:usb1="00000000" w:usb2="00000012" w:usb3="00000000" w:csb0="4002009F" w:csb1="DFD7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framePr w:wrap="around" w:vAnchor="text" w:hAnchor="margin" w:xAlign="center" w:y="1"/>
      <w:rPr>
        <w:rStyle w:val="30"/>
        <w:rFonts w:ascii="Times New Roman" w:hAnsi="Times New Roman"/>
        <w:b w:val="0"/>
        <w:i w:val="0"/>
      </w:rPr>
    </w:pPr>
    <w:r>
      <w:rPr>
        <w:rFonts w:ascii="Times New Roman" w:hAnsi="Times New Roman"/>
        <w:b w:val="0"/>
        <w:i w:val="0"/>
      </w:rPr>
      <w:fldChar w:fldCharType="begin"/>
    </w:r>
    <w:r>
      <w:rPr>
        <w:rStyle w:val="30"/>
        <w:rFonts w:ascii="Times New Roman" w:hAnsi="Times New Roman"/>
        <w:b w:val="0"/>
        <w:i w:val="0"/>
      </w:rPr>
      <w:instrText xml:space="preserve">PAGE  </w:instrText>
    </w:r>
    <w:r>
      <w:rPr>
        <w:rFonts w:ascii="Times New Roman" w:hAnsi="Times New Roman"/>
        <w:b w:val="0"/>
        <w:i w:val="0"/>
      </w:rPr>
      <w:fldChar w:fldCharType="separate"/>
    </w:r>
    <w:r>
      <w:rPr>
        <w:rStyle w:val="30"/>
        <w:rFonts w:ascii="Times New Roman" w:hAnsi="Times New Roman"/>
        <w:b w:val="0"/>
        <w:i w:val="0"/>
      </w:rPr>
      <w:t>22</w:t>
    </w:r>
    <w:r>
      <w:rPr>
        <w:rFonts w:ascii="Times New Roman" w:hAnsi="Times New Roman"/>
        <w:b w:val="0"/>
        <w:i w:val="0"/>
      </w:rPr>
      <w:fldChar w:fldCharType="end"/>
    </w:r>
  </w:p>
  <w:p>
    <w:pPr>
      <w:pStyle w:val="19"/>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framePr w:wrap="around" w:vAnchor="text" w:hAnchor="margin" w:xAlign="center" w:y="1"/>
      <w:rPr>
        <w:rStyle w:val="30"/>
      </w:rPr>
    </w:pPr>
    <w:r>
      <w:fldChar w:fldCharType="begin"/>
    </w:r>
    <w:r>
      <w:rPr>
        <w:rStyle w:val="30"/>
      </w:rPr>
      <w:instrText xml:space="preserve">PAGE  </w:instrText>
    </w:r>
    <w:r>
      <w:fldChar w:fldCharType="separate"/>
    </w:r>
    <w:r>
      <w:rPr>
        <w:rStyle w:val="30"/>
      </w:rPr>
      <w:t>1</w:t>
    </w:r>
    <w:r>
      <w:fldChar w:fldCharType="end"/>
    </w:r>
  </w:p>
  <w:p>
    <w:pPr>
      <w:pStyle w:val="1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73EE28B"/>
    <w:multiLevelType w:val="singleLevel"/>
    <w:tmpl w:val="973EE28B"/>
    <w:lvl w:ilvl="0" w:tentative="0">
      <w:start w:val="1"/>
      <w:numFmt w:val="decimal"/>
      <w:suff w:val="space"/>
      <w:lvlText w:val="[%1]"/>
      <w:lvlJc w:val="left"/>
    </w:lvl>
  </w:abstractNum>
  <w:abstractNum w:abstractNumId="1">
    <w:nsid w:val="9E338792"/>
    <w:multiLevelType w:val="singleLevel"/>
    <w:tmpl w:val="9E338792"/>
    <w:lvl w:ilvl="0" w:tentative="0">
      <w:start w:val="1"/>
      <w:numFmt w:val="bullet"/>
      <w:lvlText w:val=""/>
      <w:lvlJc w:val="left"/>
      <w:pPr>
        <w:ind w:left="420" w:hanging="420"/>
      </w:pPr>
      <w:rPr>
        <w:rFonts w:hint="default" w:ascii="Wingdings" w:hAnsi="Wingdings"/>
      </w:rPr>
    </w:lvl>
  </w:abstractNum>
  <w:abstractNum w:abstractNumId="2">
    <w:nsid w:val="BC050894"/>
    <w:multiLevelType w:val="singleLevel"/>
    <w:tmpl w:val="BC050894"/>
    <w:lvl w:ilvl="0" w:tentative="0">
      <w:start w:val="1"/>
      <w:numFmt w:val="bullet"/>
      <w:lvlText w:val=""/>
      <w:lvlJc w:val="left"/>
      <w:pPr>
        <w:ind w:left="420" w:hanging="420"/>
      </w:pPr>
      <w:rPr>
        <w:rFonts w:hint="default" w:ascii="Wingdings" w:hAnsi="Wingdings"/>
      </w:rPr>
    </w:lvl>
  </w:abstractNum>
  <w:abstractNum w:abstractNumId="3">
    <w:nsid w:val="C5CE3336"/>
    <w:multiLevelType w:val="singleLevel"/>
    <w:tmpl w:val="C5CE3336"/>
    <w:lvl w:ilvl="0" w:tentative="0">
      <w:start w:val="1"/>
      <w:numFmt w:val="bullet"/>
      <w:lvlText w:val=""/>
      <w:lvlJc w:val="left"/>
      <w:pPr>
        <w:ind w:left="420" w:hanging="420"/>
      </w:pPr>
      <w:rPr>
        <w:rFonts w:hint="default" w:ascii="Wingdings" w:hAnsi="Wingdings"/>
      </w:rPr>
    </w:lvl>
  </w:abstractNum>
  <w:abstractNum w:abstractNumId="4">
    <w:nsid w:val="E9B4EC38"/>
    <w:multiLevelType w:val="singleLevel"/>
    <w:tmpl w:val="E9B4EC38"/>
    <w:lvl w:ilvl="0" w:tentative="0">
      <w:start w:val="1"/>
      <w:numFmt w:val="decimal"/>
      <w:suff w:val="space"/>
      <w:lvlText w:val="%1)"/>
      <w:lvlJc w:val="left"/>
    </w:lvl>
  </w:abstractNum>
  <w:abstractNum w:abstractNumId="5">
    <w:nsid w:val="056E7F5C"/>
    <w:multiLevelType w:val="multilevel"/>
    <w:tmpl w:val="056E7F5C"/>
    <w:lvl w:ilvl="0" w:tentative="0">
      <w:start w:val="1"/>
      <w:numFmt w:val="decimal"/>
      <w:pStyle w:val="117"/>
      <w:lvlText w:val="[%1] "/>
      <w:lvlJc w:val="left"/>
      <w:pPr>
        <w:tabs>
          <w:tab w:val="left" w:pos="420"/>
        </w:tabs>
        <w:ind w:left="420" w:hanging="420"/>
      </w:pPr>
      <w:rPr>
        <w:rFonts w:hint="eastAsia"/>
        <w:lang w:val="en-US"/>
      </w:rPr>
    </w:lvl>
    <w:lvl w:ilvl="1" w:tentative="0">
      <w:start w:val="0"/>
      <w:numFmt w:val="bullet"/>
      <w:lvlText w:val=""/>
      <w:lvlJc w:val="left"/>
      <w:pPr>
        <w:tabs>
          <w:tab w:val="left" w:pos="780"/>
        </w:tabs>
        <w:ind w:left="780" w:hanging="360"/>
      </w:pPr>
      <w:rPr>
        <w:rFonts w:hint="default" w:ascii="Symbol" w:hAnsi="Symbol" w:eastAsia="MS Mincho" w:cs="Times New Roman"/>
        <w:color w:val="auto"/>
        <w:lang w:val="en-US"/>
      </w:rPr>
    </w:lvl>
    <w:lvl w:ilvl="2" w:tentative="0">
      <w:start w:val="0"/>
      <w:numFmt w:val="bullet"/>
      <w:lvlText w:val=""/>
      <w:lvlJc w:val="left"/>
      <w:pPr>
        <w:tabs>
          <w:tab w:val="left" w:pos="780"/>
        </w:tabs>
        <w:ind w:left="780" w:hanging="360"/>
      </w:pPr>
      <w:rPr>
        <w:rFonts w:hint="default" w:ascii="Symbol" w:hAnsi="Symbol" w:eastAsia="MS Mincho" w:cs="Times New Roman"/>
        <w:color w:val="auto"/>
        <w:lang w:val="en-US"/>
      </w:rPr>
    </w:lvl>
    <w:lvl w:ilvl="3" w:tentative="0">
      <w:start w:val="0"/>
      <w:numFmt w:val="bullet"/>
      <w:lvlText w:val=""/>
      <w:lvlJc w:val="left"/>
      <w:pPr>
        <w:tabs>
          <w:tab w:val="left" w:pos="780"/>
        </w:tabs>
        <w:ind w:left="780" w:hanging="360"/>
      </w:pPr>
      <w:rPr>
        <w:rFonts w:hint="default" w:ascii="Symbol" w:hAnsi="Symbol" w:eastAsia="MS Mincho" w:cs="Times New Roman"/>
        <w:color w:val="auto"/>
        <w:lang w:val="en-US"/>
      </w:rPr>
    </w:lvl>
    <w:lvl w:ilvl="4" w:tentative="0">
      <w:start w:val="1"/>
      <w:numFmt w:val="aiueoFullWidth"/>
      <w:lvlText w:val="(%5)"/>
      <w:lvlJc w:val="left"/>
      <w:pPr>
        <w:tabs>
          <w:tab w:val="left" w:pos="2100"/>
        </w:tabs>
        <w:ind w:left="2100" w:hanging="420"/>
      </w:pPr>
    </w:lvl>
    <w:lvl w:ilvl="5" w:tentative="0">
      <w:start w:val="1"/>
      <w:numFmt w:val="decimalEnclosedCircle"/>
      <w:lvlText w:val="%6"/>
      <w:lvlJc w:val="lef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aiueoFullWidth"/>
      <w:lvlText w:val="(%8)"/>
      <w:lvlJc w:val="left"/>
      <w:pPr>
        <w:tabs>
          <w:tab w:val="left" w:pos="3360"/>
        </w:tabs>
        <w:ind w:left="3360" w:hanging="420"/>
      </w:pPr>
    </w:lvl>
    <w:lvl w:ilvl="8" w:tentative="0">
      <w:start w:val="1"/>
      <w:numFmt w:val="decimalEnclosedCircle"/>
      <w:lvlText w:val="%9"/>
      <w:lvlJc w:val="left"/>
      <w:pPr>
        <w:tabs>
          <w:tab w:val="left" w:pos="3780"/>
        </w:tabs>
        <w:ind w:left="3780" w:hanging="420"/>
      </w:pPr>
    </w:lvl>
  </w:abstractNum>
  <w:abstractNum w:abstractNumId="6">
    <w:nsid w:val="0CA70C6C"/>
    <w:multiLevelType w:val="multilevel"/>
    <w:tmpl w:val="0CA70C6C"/>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7">
    <w:nsid w:val="0D0076DE"/>
    <w:multiLevelType w:val="singleLevel"/>
    <w:tmpl w:val="0D0076DE"/>
    <w:lvl w:ilvl="0" w:tentative="0">
      <w:start w:val="1"/>
      <w:numFmt w:val="lowerLetter"/>
      <w:suff w:val="space"/>
      <w:lvlText w:val="(%1)"/>
      <w:lvlJc w:val="left"/>
    </w:lvl>
  </w:abstractNum>
  <w:abstractNum w:abstractNumId="8">
    <w:nsid w:val="0D9C4862"/>
    <w:multiLevelType w:val="multilevel"/>
    <w:tmpl w:val="0D9C4862"/>
    <w:lvl w:ilvl="0" w:tentative="0">
      <w:start w:val="1"/>
      <w:numFmt w:val="decimal"/>
      <w:pStyle w:val="2"/>
      <w:lvlText w:val="%1"/>
      <w:lvlJc w:val="left"/>
      <w:pPr>
        <w:tabs>
          <w:tab w:val="left" w:pos="450"/>
        </w:tabs>
        <w:ind w:left="450" w:hanging="450"/>
      </w:pPr>
      <w:rPr>
        <w:rFonts w:hint="default" w:eastAsia="MS Mincho"/>
        <w:lang w:val="en-US"/>
      </w:rPr>
    </w:lvl>
    <w:lvl w:ilvl="1" w:tentative="0">
      <w:start w:val="1"/>
      <w:numFmt w:val="decimal"/>
      <w:pStyle w:val="3"/>
      <w:lvlText w:val="%1.%2"/>
      <w:lvlJc w:val="left"/>
      <w:pPr>
        <w:tabs>
          <w:tab w:val="left" w:pos="720"/>
        </w:tabs>
        <w:ind w:left="720" w:hanging="720"/>
      </w:pPr>
      <w:rPr>
        <w:rFonts w:hint="default" w:eastAsia="MS Mincho"/>
        <w:lang w:val="en-GB"/>
      </w:rPr>
    </w:lvl>
    <w:lvl w:ilvl="2" w:tentative="0">
      <w:start w:val="1"/>
      <w:numFmt w:val="decimal"/>
      <w:pStyle w:val="4"/>
      <w:lvlText w:val="%1.%2.%3"/>
      <w:lvlJc w:val="left"/>
      <w:pPr>
        <w:tabs>
          <w:tab w:val="left" w:pos="720"/>
        </w:tabs>
        <w:ind w:left="720" w:hanging="720"/>
      </w:pPr>
      <w:rPr>
        <w:rFonts w:hint="default" w:eastAsia="MS Mincho"/>
      </w:rPr>
    </w:lvl>
    <w:lvl w:ilvl="3" w:tentative="0">
      <w:start w:val="1"/>
      <w:numFmt w:val="decimal"/>
      <w:lvlText w:val="%1.%2.%3.%4"/>
      <w:lvlJc w:val="left"/>
      <w:pPr>
        <w:tabs>
          <w:tab w:val="left" w:pos="1080"/>
        </w:tabs>
        <w:ind w:left="1080" w:hanging="1080"/>
      </w:pPr>
      <w:rPr>
        <w:rFonts w:hint="default" w:eastAsia="MS Mincho"/>
      </w:rPr>
    </w:lvl>
    <w:lvl w:ilvl="4" w:tentative="0">
      <w:start w:val="1"/>
      <w:numFmt w:val="decimal"/>
      <w:lvlText w:val="%1.%2.%3.%4.%5"/>
      <w:lvlJc w:val="left"/>
      <w:pPr>
        <w:tabs>
          <w:tab w:val="left" w:pos="1440"/>
        </w:tabs>
        <w:ind w:left="1440" w:hanging="1440"/>
      </w:pPr>
      <w:rPr>
        <w:rFonts w:hint="default" w:eastAsia="MS Mincho"/>
      </w:rPr>
    </w:lvl>
    <w:lvl w:ilvl="5" w:tentative="0">
      <w:start w:val="1"/>
      <w:numFmt w:val="decimal"/>
      <w:lvlText w:val="%1.%2.%3.%4.%5.%6"/>
      <w:lvlJc w:val="left"/>
      <w:pPr>
        <w:tabs>
          <w:tab w:val="left" w:pos="1800"/>
        </w:tabs>
        <w:ind w:left="1800" w:hanging="1800"/>
      </w:pPr>
      <w:rPr>
        <w:rFonts w:hint="default" w:eastAsia="MS Mincho"/>
      </w:rPr>
    </w:lvl>
    <w:lvl w:ilvl="6" w:tentative="0">
      <w:start w:val="1"/>
      <w:numFmt w:val="decimal"/>
      <w:lvlText w:val="%1.%2.%3.%4.%5.%6.%7"/>
      <w:lvlJc w:val="left"/>
      <w:pPr>
        <w:tabs>
          <w:tab w:val="left" w:pos="1800"/>
        </w:tabs>
        <w:ind w:left="1800" w:hanging="1800"/>
      </w:pPr>
      <w:rPr>
        <w:rFonts w:hint="default" w:eastAsia="MS Mincho"/>
      </w:rPr>
    </w:lvl>
    <w:lvl w:ilvl="7" w:tentative="0">
      <w:start w:val="1"/>
      <w:numFmt w:val="decimal"/>
      <w:lvlText w:val="%1.%2.%3.%4.%5.%6.%7.%8"/>
      <w:lvlJc w:val="left"/>
      <w:pPr>
        <w:tabs>
          <w:tab w:val="left" w:pos="2160"/>
        </w:tabs>
        <w:ind w:left="2160" w:hanging="2160"/>
      </w:pPr>
      <w:rPr>
        <w:rFonts w:hint="default" w:eastAsia="MS Mincho"/>
      </w:rPr>
    </w:lvl>
    <w:lvl w:ilvl="8" w:tentative="0">
      <w:start w:val="1"/>
      <w:numFmt w:val="decimal"/>
      <w:lvlText w:val="%1.%2.%3.%4.%5.%6.%7.%8.%9"/>
      <w:lvlJc w:val="left"/>
      <w:pPr>
        <w:tabs>
          <w:tab w:val="left" w:pos="2520"/>
        </w:tabs>
        <w:ind w:left="2520" w:hanging="2520"/>
      </w:pPr>
      <w:rPr>
        <w:rFonts w:hint="default" w:eastAsia="MS Mincho"/>
      </w:rPr>
    </w:lvl>
  </w:abstractNum>
  <w:abstractNum w:abstractNumId="9">
    <w:nsid w:val="0D9D040B"/>
    <w:multiLevelType w:val="multilevel"/>
    <w:tmpl w:val="0D9D040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11DF4FDC"/>
    <w:multiLevelType w:val="multilevel"/>
    <w:tmpl w:val="11DF4FDC"/>
    <w:lvl w:ilvl="0" w:tentative="0">
      <w:start w:val="1"/>
      <w:numFmt w:val="bullet"/>
      <w:lvlText w:val=""/>
      <w:lvlJc w:val="left"/>
      <w:pPr>
        <w:tabs>
          <w:tab w:val="left" w:pos="620"/>
        </w:tabs>
        <w:ind w:left="620" w:hanging="360"/>
      </w:pPr>
      <w:rPr>
        <w:rFonts w:hint="default" w:ascii="Symbol" w:hAnsi="Symbol"/>
        <w:sz w:val="20"/>
      </w:rPr>
    </w:lvl>
    <w:lvl w:ilvl="1" w:tentative="0">
      <w:start w:val="1"/>
      <w:numFmt w:val="bullet"/>
      <w:lvlText w:val="o"/>
      <w:lvlJc w:val="left"/>
      <w:pPr>
        <w:tabs>
          <w:tab w:val="left" w:pos="1340"/>
        </w:tabs>
        <w:ind w:left="1340" w:hanging="360"/>
      </w:pPr>
      <w:rPr>
        <w:rFonts w:hint="default" w:ascii="Courier New" w:hAnsi="Courier New"/>
        <w:sz w:val="20"/>
      </w:rPr>
    </w:lvl>
    <w:lvl w:ilvl="2" w:tentative="0">
      <w:start w:val="1"/>
      <w:numFmt w:val="bullet"/>
      <w:lvlText w:val=""/>
      <w:lvlJc w:val="left"/>
      <w:pPr>
        <w:tabs>
          <w:tab w:val="left" w:pos="2060"/>
        </w:tabs>
        <w:ind w:left="2060" w:hanging="360"/>
      </w:pPr>
      <w:rPr>
        <w:rFonts w:hint="default" w:ascii="Symbol" w:hAnsi="Symbol"/>
        <w:sz w:val="20"/>
      </w:rPr>
    </w:lvl>
    <w:lvl w:ilvl="3" w:tentative="0">
      <w:start w:val="1"/>
      <w:numFmt w:val="bullet"/>
      <w:lvlText w:val=""/>
      <w:lvlJc w:val="left"/>
      <w:pPr>
        <w:tabs>
          <w:tab w:val="left" w:pos="2780"/>
        </w:tabs>
        <w:ind w:left="2780" w:hanging="360"/>
      </w:pPr>
      <w:rPr>
        <w:rFonts w:hint="default" w:ascii="Symbol" w:hAnsi="Symbol"/>
        <w:sz w:val="20"/>
      </w:rPr>
    </w:lvl>
    <w:lvl w:ilvl="4" w:tentative="0">
      <w:start w:val="1"/>
      <w:numFmt w:val="bullet"/>
      <w:lvlText w:val=""/>
      <w:lvlJc w:val="left"/>
      <w:pPr>
        <w:tabs>
          <w:tab w:val="left" w:pos="3500"/>
        </w:tabs>
        <w:ind w:left="3500" w:hanging="360"/>
      </w:pPr>
      <w:rPr>
        <w:rFonts w:hint="default" w:ascii="Symbol" w:hAnsi="Symbol"/>
        <w:sz w:val="20"/>
      </w:rPr>
    </w:lvl>
    <w:lvl w:ilvl="5" w:tentative="0">
      <w:start w:val="1"/>
      <w:numFmt w:val="bullet"/>
      <w:lvlText w:val=""/>
      <w:lvlJc w:val="left"/>
      <w:pPr>
        <w:tabs>
          <w:tab w:val="left" w:pos="4220"/>
        </w:tabs>
        <w:ind w:left="4220" w:hanging="360"/>
      </w:pPr>
      <w:rPr>
        <w:rFonts w:hint="default" w:ascii="Symbol" w:hAnsi="Symbol"/>
        <w:sz w:val="20"/>
      </w:rPr>
    </w:lvl>
    <w:lvl w:ilvl="6" w:tentative="0">
      <w:start w:val="1"/>
      <w:numFmt w:val="bullet"/>
      <w:lvlText w:val=""/>
      <w:lvlJc w:val="left"/>
      <w:pPr>
        <w:tabs>
          <w:tab w:val="left" w:pos="4940"/>
        </w:tabs>
        <w:ind w:left="4940" w:hanging="360"/>
      </w:pPr>
      <w:rPr>
        <w:rFonts w:hint="default" w:ascii="Symbol" w:hAnsi="Symbol"/>
        <w:sz w:val="20"/>
      </w:rPr>
    </w:lvl>
    <w:lvl w:ilvl="7" w:tentative="0">
      <w:start w:val="1"/>
      <w:numFmt w:val="bullet"/>
      <w:lvlText w:val=""/>
      <w:lvlJc w:val="left"/>
      <w:pPr>
        <w:tabs>
          <w:tab w:val="left" w:pos="5660"/>
        </w:tabs>
        <w:ind w:left="5660" w:hanging="360"/>
      </w:pPr>
      <w:rPr>
        <w:rFonts w:hint="default" w:ascii="Symbol" w:hAnsi="Symbol"/>
        <w:sz w:val="20"/>
      </w:rPr>
    </w:lvl>
    <w:lvl w:ilvl="8" w:tentative="0">
      <w:start w:val="1"/>
      <w:numFmt w:val="bullet"/>
      <w:lvlText w:val=""/>
      <w:lvlJc w:val="left"/>
      <w:pPr>
        <w:tabs>
          <w:tab w:val="left" w:pos="6380"/>
        </w:tabs>
        <w:ind w:left="6380" w:hanging="360"/>
      </w:pPr>
      <w:rPr>
        <w:rFonts w:hint="default" w:ascii="Symbol" w:hAnsi="Symbol"/>
        <w:sz w:val="20"/>
      </w:rPr>
    </w:lvl>
  </w:abstractNum>
  <w:abstractNum w:abstractNumId="11">
    <w:nsid w:val="161F6808"/>
    <w:multiLevelType w:val="singleLevel"/>
    <w:tmpl w:val="161F6808"/>
    <w:lvl w:ilvl="0" w:tentative="0">
      <w:start w:val="1"/>
      <w:numFmt w:val="bullet"/>
      <w:lvlText w:val=""/>
      <w:lvlJc w:val="left"/>
      <w:pPr>
        <w:ind w:left="420" w:hanging="420"/>
      </w:pPr>
      <w:rPr>
        <w:rFonts w:hint="default" w:ascii="Wingdings" w:hAnsi="Wingdings"/>
      </w:rPr>
    </w:lvl>
  </w:abstractNum>
  <w:abstractNum w:abstractNumId="12">
    <w:nsid w:val="228513F0"/>
    <w:multiLevelType w:val="multilevel"/>
    <w:tmpl w:val="228513F0"/>
    <w:lvl w:ilvl="0" w:tentative="0">
      <w:start w:val="1"/>
      <w:numFmt w:val="decimal"/>
      <w:pStyle w:val="102"/>
      <w:lvlText w:val="[%1]"/>
      <w:lvlJc w:val="left"/>
      <w:pPr>
        <w:tabs>
          <w:tab w:val="left" w:pos="0"/>
        </w:tabs>
        <w:ind w:left="340" w:hanging="340"/>
      </w:pPr>
      <w:rPr>
        <w:rFonts w:hint="default" w:hAnsi="Arial"/>
      </w:rPr>
    </w:lvl>
    <w:lvl w:ilvl="1" w:tentative="0">
      <w:start w:val="1"/>
      <w:numFmt w:val="aiueoFullWidth"/>
      <w:lvlText w:val="(%2)"/>
      <w:lvlJc w:val="left"/>
      <w:pPr>
        <w:tabs>
          <w:tab w:val="left" w:pos="840"/>
        </w:tabs>
        <w:ind w:left="840" w:hanging="420"/>
      </w:pPr>
    </w:lvl>
    <w:lvl w:ilvl="2" w:tentative="0">
      <w:start w:val="1"/>
      <w:numFmt w:val="decimalEnclosedCircle"/>
      <w:lvlText w:val="%3"/>
      <w:lvlJc w:val="lef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aiueoFullWidth"/>
      <w:lvlText w:val="(%5)"/>
      <w:lvlJc w:val="left"/>
      <w:pPr>
        <w:tabs>
          <w:tab w:val="left" w:pos="2100"/>
        </w:tabs>
        <w:ind w:left="2100" w:hanging="420"/>
      </w:pPr>
    </w:lvl>
    <w:lvl w:ilvl="5" w:tentative="0">
      <w:start w:val="1"/>
      <w:numFmt w:val="decimalEnclosedCircle"/>
      <w:lvlText w:val="%6"/>
      <w:lvlJc w:val="lef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aiueoFullWidth"/>
      <w:lvlText w:val="(%8)"/>
      <w:lvlJc w:val="left"/>
      <w:pPr>
        <w:tabs>
          <w:tab w:val="left" w:pos="3360"/>
        </w:tabs>
        <w:ind w:left="3360" w:hanging="420"/>
      </w:pPr>
    </w:lvl>
    <w:lvl w:ilvl="8" w:tentative="0">
      <w:start w:val="1"/>
      <w:numFmt w:val="decimalEnclosedCircle"/>
      <w:lvlText w:val="%9"/>
      <w:lvlJc w:val="left"/>
      <w:pPr>
        <w:tabs>
          <w:tab w:val="left" w:pos="3780"/>
        </w:tabs>
        <w:ind w:left="3780" w:hanging="420"/>
      </w:pPr>
    </w:lvl>
  </w:abstractNum>
  <w:abstractNum w:abstractNumId="13">
    <w:nsid w:val="35566400"/>
    <w:multiLevelType w:val="multilevel"/>
    <w:tmpl w:val="355664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3AA46647"/>
    <w:multiLevelType w:val="multilevel"/>
    <w:tmpl w:val="3AA46647"/>
    <w:lvl w:ilvl="0" w:tentative="0">
      <w:start w:val="1"/>
      <w:numFmt w:val="decimal"/>
      <w:pStyle w:val="112"/>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5">
    <w:nsid w:val="42B553E0"/>
    <w:multiLevelType w:val="multilevel"/>
    <w:tmpl w:val="42B553E0"/>
    <w:lvl w:ilvl="0" w:tentative="0">
      <w:start w:val="0"/>
      <w:numFmt w:val="bullet"/>
      <w:lvlText w:val=""/>
      <w:lvlJc w:val="left"/>
      <w:pPr>
        <w:ind w:left="720" w:hanging="360"/>
      </w:pPr>
      <w:rPr>
        <w:rFonts w:hint="default" w:ascii="Symbol" w:hAnsi="Symbol" w:eastAsia="Calibri"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4A55685D"/>
    <w:multiLevelType w:val="singleLevel"/>
    <w:tmpl w:val="4A55685D"/>
    <w:lvl w:ilvl="0" w:tentative="0">
      <w:start w:val="1"/>
      <w:numFmt w:val="bullet"/>
      <w:pStyle w:val="91"/>
      <w:lvlText w:val=""/>
      <w:lvlJc w:val="left"/>
      <w:pPr>
        <w:tabs>
          <w:tab w:val="left" w:pos="992"/>
        </w:tabs>
        <w:ind w:left="992" w:hanging="425"/>
      </w:pPr>
      <w:rPr>
        <w:rFonts w:hint="default" w:ascii="Symbol" w:hAnsi="Symbol"/>
      </w:rPr>
    </w:lvl>
  </w:abstractNum>
  <w:abstractNum w:abstractNumId="17">
    <w:nsid w:val="51B5740A"/>
    <w:multiLevelType w:val="multilevel"/>
    <w:tmpl w:val="51B574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52CA544A"/>
    <w:multiLevelType w:val="singleLevel"/>
    <w:tmpl w:val="52CA544A"/>
    <w:lvl w:ilvl="0" w:tentative="0">
      <w:start w:val="1"/>
      <w:numFmt w:val="decimal"/>
      <w:pStyle w:val="108"/>
      <w:lvlText w:val="[%1]"/>
      <w:lvlJc w:val="left"/>
      <w:pPr>
        <w:tabs>
          <w:tab w:val="left" w:pos="360"/>
        </w:tabs>
        <w:ind w:left="360" w:hanging="360"/>
      </w:pPr>
      <w:rPr>
        <w:rFonts w:hint="default" w:ascii="Times New Roman" w:hAnsi="Times New Roman" w:cs="Times New Roman"/>
        <w:b w:val="0"/>
        <w:bCs w:val="0"/>
        <w:i w:val="0"/>
        <w:iCs w:val="0"/>
        <w:sz w:val="20"/>
        <w:szCs w:val="16"/>
      </w:rPr>
    </w:lvl>
  </w:abstractNum>
  <w:abstractNum w:abstractNumId="19">
    <w:nsid w:val="5AC54547"/>
    <w:multiLevelType w:val="singleLevel"/>
    <w:tmpl w:val="5AC54547"/>
    <w:lvl w:ilvl="0" w:tentative="0">
      <w:start w:val="1"/>
      <w:numFmt w:val="bullet"/>
      <w:lvlText w:val=""/>
      <w:lvlJc w:val="left"/>
      <w:pPr>
        <w:ind w:left="420" w:hanging="420"/>
      </w:pPr>
      <w:rPr>
        <w:rFonts w:hint="default" w:ascii="Wingdings" w:hAnsi="Wingdings"/>
      </w:rPr>
    </w:lvl>
  </w:abstractNum>
  <w:abstractNum w:abstractNumId="20">
    <w:nsid w:val="618A2999"/>
    <w:multiLevelType w:val="multilevel"/>
    <w:tmpl w:val="618A299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63A12AEF"/>
    <w:multiLevelType w:val="singleLevel"/>
    <w:tmpl w:val="63A12AEF"/>
    <w:lvl w:ilvl="0" w:tentative="0">
      <w:start w:val="1"/>
      <w:numFmt w:val="bullet"/>
      <w:lvlText w:val=""/>
      <w:lvlJc w:val="left"/>
      <w:pPr>
        <w:ind w:left="420" w:hanging="420"/>
      </w:pPr>
      <w:rPr>
        <w:rFonts w:hint="default" w:ascii="Wingdings" w:hAnsi="Wingdings"/>
      </w:rPr>
    </w:lvl>
  </w:abstractNum>
  <w:abstractNum w:abstractNumId="22">
    <w:nsid w:val="64E1B541"/>
    <w:multiLevelType w:val="singleLevel"/>
    <w:tmpl w:val="64E1B541"/>
    <w:lvl w:ilvl="0" w:tentative="0">
      <w:start w:val="1"/>
      <w:numFmt w:val="bullet"/>
      <w:lvlText w:val=""/>
      <w:lvlJc w:val="left"/>
      <w:pPr>
        <w:ind w:left="420" w:hanging="420"/>
      </w:pPr>
      <w:rPr>
        <w:rFonts w:hint="default" w:ascii="Wingdings" w:hAnsi="Wingdings"/>
      </w:rPr>
    </w:lvl>
  </w:abstractNum>
  <w:abstractNum w:abstractNumId="23">
    <w:nsid w:val="6E760327"/>
    <w:multiLevelType w:val="multilevel"/>
    <w:tmpl w:val="6E760327"/>
    <w:lvl w:ilvl="0" w:tentative="0">
      <w:start w:val="1"/>
      <w:numFmt w:val="decimal"/>
      <w:pStyle w:val="95"/>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lang w:val="en-GB"/>
      </w:rPr>
    </w:lvl>
    <w:lvl w:ilvl="2" w:tentative="0">
      <w:start w:val="1"/>
      <w:numFmt w:val="decimal"/>
      <w:lvlText w:val="%1.%2.%3"/>
      <w:lvlJc w:val="left"/>
      <w:pPr>
        <w:tabs>
          <w:tab w:val="left" w:pos="2564"/>
        </w:tabs>
        <w:ind w:left="2564" w:hanging="2564"/>
      </w:pPr>
      <w:rPr>
        <w:rFonts w:hint="default"/>
      </w:rPr>
    </w:lvl>
    <w:lvl w:ilvl="3" w:tentative="0">
      <w:start w:val="1"/>
      <w:numFmt w:val="decimal"/>
      <w:lvlText w:val="%1.%2.%3.%4"/>
      <w:lvlJc w:val="left"/>
      <w:pPr>
        <w:tabs>
          <w:tab w:val="left" w:pos="1290"/>
        </w:tabs>
        <w:ind w:left="1290" w:hanging="1290"/>
      </w:pPr>
      <w:rPr>
        <w:rFonts w:hint="default"/>
      </w:rPr>
    </w:lvl>
    <w:lvl w:ilvl="4" w:tentative="0">
      <w:start w:val="1"/>
      <w:numFmt w:val="decimal"/>
      <w:lvlText w:val="%1.%2.%3.%4.%5"/>
      <w:lvlJc w:val="left"/>
      <w:pPr>
        <w:tabs>
          <w:tab w:val="left" w:pos="1080"/>
        </w:tabs>
        <w:ind w:left="1008" w:hanging="1008"/>
      </w:pPr>
      <w:rPr>
        <w:rFonts w:hint="default"/>
      </w:rPr>
    </w:lvl>
    <w:lvl w:ilvl="5" w:tentative="0">
      <w:start w:val="1"/>
      <w:numFmt w:val="decimal"/>
      <w:lvlText w:val="%1.%2.%3.%4.%5.%6"/>
      <w:lvlJc w:val="left"/>
      <w:pPr>
        <w:tabs>
          <w:tab w:val="left" w:pos="1440"/>
        </w:tabs>
        <w:ind w:left="1152" w:hanging="1152"/>
      </w:pPr>
      <w:rPr>
        <w:rFonts w:hint="default"/>
      </w:rPr>
    </w:lvl>
    <w:lvl w:ilvl="6" w:tentative="0">
      <w:start w:val="1"/>
      <w:numFmt w:val="decimal"/>
      <w:lvlText w:val="%1.%2.%3.%4.%5.%6.%7"/>
      <w:lvlJc w:val="left"/>
      <w:pPr>
        <w:tabs>
          <w:tab w:val="left" w:pos="1800"/>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24">
    <w:nsid w:val="70146DC0"/>
    <w:multiLevelType w:val="multilevel"/>
    <w:tmpl w:val="70146DC0"/>
    <w:lvl w:ilvl="0" w:tentative="0">
      <w:start w:val="1"/>
      <w:numFmt w:val="bullet"/>
      <w:pStyle w:val="126"/>
      <w:lvlText w:val=""/>
      <w:lvlJc w:val="left"/>
      <w:pPr>
        <w:tabs>
          <w:tab w:val="left" w:pos="927"/>
        </w:tabs>
        <w:ind w:left="927" w:hanging="360"/>
      </w:pPr>
      <w:rPr>
        <w:rFonts w:hint="default" w:ascii="Symbol" w:hAnsi="Symbol"/>
        <w:b/>
        <w:i w:val="0"/>
        <w:color w:val="auto"/>
        <w:sz w:val="22"/>
      </w:rPr>
    </w:lvl>
    <w:lvl w:ilvl="1" w:tentative="0">
      <w:start w:val="1"/>
      <w:numFmt w:val="bullet"/>
      <w:lvlText w:val="o"/>
      <w:lvlJc w:val="left"/>
      <w:pPr>
        <w:tabs>
          <w:tab w:val="left" w:pos="748"/>
        </w:tabs>
        <w:ind w:left="748" w:hanging="360"/>
      </w:pPr>
      <w:rPr>
        <w:rFonts w:hint="default" w:ascii="Courier New" w:hAnsi="Courier New" w:cs="Courier New"/>
      </w:rPr>
    </w:lvl>
    <w:lvl w:ilvl="2" w:tentative="0">
      <w:start w:val="1"/>
      <w:numFmt w:val="bullet"/>
      <w:lvlText w:val=""/>
      <w:lvlJc w:val="left"/>
      <w:pPr>
        <w:tabs>
          <w:tab w:val="left" w:pos="1468"/>
        </w:tabs>
        <w:ind w:left="1468" w:hanging="360"/>
      </w:pPr>
      <w:rPr>
        <w:rFonts w:hint="default" w:ascii="Wingdings" w:hAnsi="Wingdings"/>
      </w:rPr>
    </w:lvl>
    <w:lvl w:ilvl="3" w:tentative="0">
      <w:start w:val="1"/>
      <w:numFmt w:val="bullet"/>
      <w:lvlText w:val=""/>
      <w:lvlJc w:val="left"/>
      <w:pPr>
        <w:tabs>
          <w:tab w:val="left" w:pos="2188"/>
        </w:tabs>
        <w:ind w:left="2188" w:hanging="360"/>
      </w:pPr>
      <w:rPr>
        <w:rFonts w:hint="default" w:ascii="Symbol" w:hAnsi="Symbol"/>
      </w:rPr>
    </w:lvl>
    <w:lvl w:ilvl="4" w:tentative="0">
      <w:start w:val="1"/>
      <w:numFmt w:val="bullet"/>
      <w:lvlText w:val="o"/>
      <w:lvlJc w:val="left"/>
      <w:pPr>
        <w:tabs>
          <w:tab w:val="left" w:pos="2908"/>
        </w:tabs>
        <w:ind w:left="2908" w:hanging="360"/>
      </w:pPr>
      <w:rPr>
        <w:rFonts w:hint="default" w:ascii="Courier New" w:hAnsi="Courier New" w:cs="Courier New"/>
      </w:rPr>
    </w:lvl>
    <w:lvl w:ilvl="5" w:tentative="0">
      <w:start w:val="1"/>
      <w:numFmt w:val="bullet"/>
      <w:lvlText w:val=""/>
      <w:lvlJc w:val="left"/>
      <w:pPr>
        <w:tabs>
          <w:tab w:val="left" w:pos="3628"/>
        </w:tabs>
        <w:ind w:left="3628" w:hanging="360"/>
      </w:pPr>
      <w:rPr>
        <w:rFonts w:hint="default" w:ascii="Wingdings" w:hAnsi="Wingdings"/>
      </w:rPr>
    </w:lvl>
    <w:lvl w:ilvl="6" w:tentative="0">
      <w:start w:val="1"/>
      <w:numFmt w:val="bullet"/>
      <w:lvlText w:val=""/>
      <w:lvlJc w:val="left"/>
      <w:pPr>
        <w:tabs>
          <w:tab w:val="left" w:pos="4348"/>
        </w:tabs>
        <w:ind w:left="4348" w:hanging="360"/>
      </w:pPr>
      <w:rPr>
        <w:rFonts w:hint="default" w:ascii="Symbol" w:hAnsi="Symbol"/>
      </w:rPr>
    </w:lvl>
    <w:lvl w:ilvl="7" w:tentative="0">
      <w:start w:val="1"/>
      <w:numFmt w:val="bullet"/>
      <w:lvlText w:val="o"/>
      <w:lvlJc w:val="left"/>
      <w:pPr>
        <w:tabs>
          <w:tab w:val="left" w:pos="5068"/>
        </w:tabs>
        <w:ind w:left="5068" w:hanging="360"/>
      </w:pPr>
      <w:rPr>
        <w:rFonts w:hint="default" w:ascii="Courier New" w:hAnsi="Courier New" w:cs="Courier New"/>
      </w:rPr>
    </w:lvl>
    <w:lvl w:ilvl="8" w:tentative="0">
      <w:start w:val="1"/>
      <w:numFmt w:val="bullet"/>
      <w:lvlText w:val=""/>
      <w:lvlJc w:val="left"/>
      <w:pPr>
        <w:tabs>
          <w:tab w:val="left" w:pos="5788"/>
        </w:tabs>
        <w:ind w:left="5788" w:hanging="360"/>
      </w:pPr>
      <w:rPr>
        <w:rFonts w:hint="default" w:ascii="Wingdings" w:hAnsi="Wingdings"/>
      </w:rPr>
    </w:lvl>
  </w:abstractNum>
  <w:abstractNum w:abstractNumId="25">
    <w:nsid w:val="7BC330F5"/>
    <w:multiLevelType w:val="multilevel"/>
    <w:tmpl w:val="7BC330F5"/>
    <w:lvl w:ilvl="0" w:tentative="0">
      <w:start w:val="1"/>
      <w:numFmt w:val="bullet"/>
      <w:pStyle w:val="99"/>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8"/>
  </w:num>
  <w:num w:numId="2">
    <w:abstractNumId w:val="16"/>
  </w:num>
  <w:num w:numId="3">
    <w:abstractNumId w:val="23"/>
  </w:num>
  <w:num w:numId="4">
    <w:abstractNumId w:val="25"/>
  </w:num>
  <w:num w:numId="5">
    <w:abstractNumId w:val="12"/>
  </w:num>
  <w:num w:numId="6">
    <w:abstractNumId w:val="18"/>
  </w:num>
  <w:num w:numId="7">
    <w:abstractNumId w:val="14"/>
  </w:num>
  <w:num w:numId="8">
    <w:abstractNumId w:val="5"/>
  </w:num>
  <w:num w:numId="9">
    <w:abstractNumId w:val="24"/>
  </w:num>
  <w:num w:numId="10">
    <w:abstractNumId w:val="15"/>
  </w:num>
  <w:num w:numId="11">
    <w:abstractNumId w:val="10"/>
  </w:num>
  <w:num w:numId="12">
    <w:abstractNumId w:val="17"/>
  </w:num>
  <w:num w:numId="13">
    <w:abstractNumId w:val="1"/>
  </w:num>
  <w:num w:numId="14">
    <w:abstractNumId w:val="20"/>
  </w:num>
  <w:num w:numId="15">
    <w:abstractNumId w:val="3"/>
  </w:num>
  <w:num w:numId="16">
    <w:abstractNumId w:val="6"/>
  </w:num>
  <w:num w:numId="17">
    <w:abstractNumId w:val="7"/>
  </w:num>
  <w:num w:numId="18">
    <w:abstractNumId w:val="4"/>
  </w:num>
  <w:num w:numId="19">
    <w:abstractNumId w:val="21"/>
  </w:num>
  <w:num w:numId="20">
    <w:abstractNumId w:val="9"/>
  </w:num>
  <w:num w:numId="21">
    <w:abstractNumId w:val="2"/>
  </w:num>
  <w:num w:numId="22">
    <w:abstractNumId w:val="13"/>
  </w:num>
  <w:num w:numId="23">
    <w:abstractNumId w:val="19"/>
  </w:num>
  <w:num w:numId="24">
    <w:abstractNumId w:val="22"/>
  </w:num>
  <w:num w:numId="25">
    <w:abstractNumId w:val="11"/>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bordersDoNotSurroundHeader w:val="1"/>
  <w:bordersDoNotSurroundFooter w:val="1"/>
  <w:documentProtection w:enforcement="0"/>
  <w:defaultTabStop w:val="720"/>
  <w:hyphenationZone w:val="425"/>
  <w:drawingGridHorizontalSpacing w:val="100"/>
  <w:noPunctuationKerning w:val="1"/>
  <w:characterSpacingControl w:val="doNotCompress"/>
  <w:footnotePr>
    <w:numRestart w:val="eachSect"/>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182"/>
    <w:rsid w:val="000002B0"/>
    <w:rsid w:val="0000050F"/>
    <w:rsid w:val="000009B3"/>
    <w:rsid w:val="00000D37"/>
    <w:rsid w:val="000010E3"/>
    <w:rsid w:val="00001E82"/>
    <w:rsid w:val="00001EBC"/>
    <w:rsid w:val="00001F93"/>
    <w:rsid w:val="000020BF"/>
    <w:rsid w:val="00002251"/>
    <w:rsid w:val="0000274C"/>
    <w:rsid w:val="00002841"/>
    <w:rsid w:val="00002A59"/>
    <w:rsid w:val="00003279"/>
    <w:rsid w:val="0000331D"/>
    <w:rsid w:val="00003365"/>
    <w:rsid w:val="000033B9"/>
    <w:rsid w:val="00003525"/>
    <w:rsid w:val="0000356C"/>
    <w:rsid w:val="00003948"/>
    <w:rsid w:val="00003BCF"/>
    <w:rsid w:val="00003D6D"/>
    <w:rsid w:val="00003F97"/>
    <w:rsid w:val="000042D6"/>
    <w:rsid w:val="00004530"/>
    <w:rsid w:val="000045CB"/>
    <w:rsid w:val="000046A8"/>
    <w:rsid w:val="0000484C"/>
    <w:rsid w:val="00004904"/>
    <w:rsid w:val="00005227"/>
    <w:rsid w:val="000056C6"/>
    <w:rsid w:val="00005E4D"/>
    <w:rsid w:val="00006271"/>
    <w:rsid w:val="00006C0B"/>
    <w:rsid w:val="00006C6B"/>
    <w:rsid w:val="00006F50"/>
    <w:rsid w:val="00007093"/>
    <w:rsid w:val="00007287"/>
    <w:rsid w:val="00007592"/>
    <w:rsid w:val="00007604"/>
    <w:rsid w:val="00007B54"/>
    <w:rsid w:val="00007B6F"/>
    <w:rsid w:val="00007C29"/>
    <w:rsid w:val="00007C9C"/>
    <w:rsid w:val="00010967"/>
    <w:rsid w:val="00010B5D"/>
    <w:rsid w:val="000111E3"/>
    <w:rsid w:val="00011484"/>
    <w:rsid w:val="000115A4"/>
    <w:rsid w:val="00011654"/>
    <w:rsid w:val="00011944"/>
    <w:rsid w:val="00011E04"/>
    <w:rsid w:val="000124EE"/>
    <w:rsid w:val="00012881"/>
    <w:rsid w:val="00012C8B"/>
    <w:rsid w:val="00012F30"/>
    <w:rsid w:val="0001379E"/>
    <w:rsid w:val="00013B71"/>
    <w:rsid w:val="00013C0C"/>
    <w:rsid w:val="000143D3"/>
    <w:rsid w:val="00014761"/>
    <w:rsid w:val="000149B6"/>
    <w:rsid w:val="0001545F"/>
    <w:rsid w:val="00015699"/>
    <w:rsid w:val="000156C4"/>
    <w:rsid w:val="000158DC"/>
    <w:rsid w:val="00015B6F"/>
    <w:rsid w:val="00015E59"/>
    <w:rsid w:val="000164B1"/>
    <w:rsid w:val="000166E2"/>
    <w:rsid w:val="0001684B"/>
    <w:rsid w:val="00016BCD"/>
    <w:rsid w:val="00017339"/>
    <w:rsid w:val="00017653"/>
    <w:rsid w:val="000177E9"/>
    <w:rsid w:val="000178BC"/>
    <w:rsid w:val="00017AE2"/>
    <w:rsid w:val="00017B37"/>
    <w:rsid w:val="00017C2D"/>
    <w:rsid w:val="00017D2C"/>
    <w:rsid w:val="00017E20"/>
    <w:rsid w:val="00017E9F"/>
    <w:rsid w:val="00017F64"/>
    <w:rsid w:val="0002009D"/>
    <w:rsid w:val="00020260"/>
    <w:rsid w:val="00020674"/>
    <w:rsid w:val="00020E18"/>
    <w:rsid w:val="00020E8C"/>
    <w:rsid w:val="00020F41"/>
    <w:rsid w:val="0002125C"/>
    <w:rsid w:val="0002155E"/>
    <w:rsid w:val="0002174B"/>
    <w:rsid w:val="00021822"/>
    <w:rsid w:val="00021A40"/>
    <w:rsid w:val="00021DE9"/>
    <w:rsid w:val="00022577"/>
    <w:rsid w:val="000229CD"/>
    <w:rsid w:val="00022CE0"/>
    <w:rsid w:val="0002309A"/>
    <w:rsid w:val="00023476"/>
    <w:rsid w:val="00023A04"/>
    <w:rsid w:val="00023B70"/>
    <w:rsid w:val="00023BC3"/>
    <w:rsid w:val="00023E38"/>
    <w:rsid w:val="000246A2"/>
    <w:rsid w:val="0002487C"/>
    <w:rsid w:val="00025126"/>
    <w:rsid w:val="00025333"/>
    <w:rsid w:val="00025EE1"/>
    <w:rsid w:val="00026070"/>
    <w:rsid w:val="0002607D"/>
    <w:rsid w:val="0002617E"/>
    <w:rsid w:val="000267D4"/>
    <w:rsid w:val="00026845"/>
    <w:rsid w:val="00026AC8"/>
    <w:rsid w:val="00026CEB"/>
    <w:rsid w:val="00026EA3"/>
    <w:rsid w:val="0002728B"/>
    <w:rsid w:val="000272B2"/>
    <w:rsid w:val="0002733C"/>
    <w:rsid w:val="000273E4"/>
    <w:rsid w:val="000273F3"/>
    <w:rsid w:val="0003014B"/>
    <w:rsid w:val="00030864"/>
    <w:rsid w:val="00030930"/>
    <w:rsid w:val="00030BC6"/>
    <w:rsid w:val="00030E2D"/>
    <w:rsid w:val="00030F06"/>
    <w:rsid w:val="00031308"/>
    <w:rsid w:val="00031459"/>
    <w:rsid w:val="0003150C"/>
    <w:rsid w:val="00031560"/>
    <w:rsid w:val="00031591"/>
    <w:rsid w:val="0003164D"/>
    <w:rsid w:val="0003230A"/>
    <w:rsid w:val="00032B02"/>
    <w:rsid w:val="00033170"/>
    <w:rsid w:val="000332AA"/>
    <w:rsid w:val="00033A3F"/>
    <w:rsid w:val="00033BAD"/>
    <w:rsid w:val="00033E0B"/>
    <w:rsid w:val="0003455D"/>
    <w:rsid w:val="000346B2"/>
    <w:rsid w:val="00034872"/>
    <w:rsid w:val="0003496E"/>
    <w:rsid w:val="00034A9D"/>
    <w:rsid w:val="00034C56"/>
    <w:rsid w:val="00034FD8"/>
    <w:rsid w:val="0003515F"/>
    <w:rsid w:val="00035256"/>
    <w:rsid w:val="0003529E"/>
    <w:rsid w:val="00035356"/>
    <w:rsid w:val="00035852"/>
    <w:rsid w:val="000359AB"/>
    <w:rsid w:val="00035AFD"/>
    <w:rsid w:val="00035CF2"/>
    <w:rsid w:val="0003643E"/>
    <w:rsid w:val="00036664"/>
    <w:rsid w:val="00036A14"/>
    <w:rsid w:val="00036B60"/>
    <w:rsid w:val="000370A8"/>
    <w:rsid w:val="000374E7"/>
    <w:rsid w:val="000374F7"/>
    <w:rsid w:val="0003756D"/>
    <w:rsid w:val="000378C9"/>
    <w:rsid w:val="000379F4"/>
    <w:rsid w:val="00037A15"/>
    <w:rsid w:val="00037E5D"/>
    <w:rsid w:val="000401AD"/>
    <w:rsid w:val="0004041F"/>
    <w:rsid w:val="00040A2E"/>
    <w:rsid w:val="00041253"/>
    <w:rsid w:val="0004148A"/>
    <w:rsid w:val="00041C46"/>
    <w:rsid w:val="00041D4C"/>
    <w:rsid w:val="0004246F"/>
    <w:rsid w:val="000425B9"/>
    <w:rsid w:val="0004298A"/>
    <w:rsid w:val="00042BAF"/>
    <w:rsid w:val="00042C23"/>
    <w:rsid w:val="00042C73"/>
    <w:rsid w:val="00042CCC"/>
    <w:rsid w:val="00043025"/>
    <w:rsid w:val="000432BE"/>
    <w:rsid w:val="000432E2"/>
    <w:rsid w:val="000434EC"/>
    <w:rsid w:val="000435C2"/>
    <w:rsid w:val="00043D85"/>
    <w:rsid w:val="000443AC"/>
    <w:rsid w:val="000448DA"/>
    <w:rsid w:val="00045056"/>
    <w:rsid w:val="000450B9"/>
    <w:rsid w:val="0004520F"/>
    <w:rsid w:val="00045312"/>
    <w:rsid w:val="000457A0"/>
    <w:rsid w:val="00045B05"/>
    <w:rsid w:val="00046708"/>
    <w:rsid w:val="000468D9"/>
    <w:rsid w:val="00046ABE"/>
    <w:rsid w:val="00046C81"/>
    <w:rsid w:val="00046EB1"/>
    <w:rsid w:val="00047075"/>
    <w:rsid w:val="0004733B"/>
    <w:rsid w:val="00047BD8"/>
    <w:rsid w:val="00047F05"/>
    <w:rsid w:val="000506B0"/>
    <w:rsid w:val="00050F3C"/>
    <w:rsid w:val="0005108D"/>
    <w:rsid w:val="00051234"/>
    <w:rsid w:val="000516EC"/>
    <w:rsid w:val="00051B97"/>
    <w:rsid w:val="00051D19"/>
    <w:rsid w:val="0005226B"/>
    <w:rsid w:val="000525EE"/>
    <w:rsid w:val="00052818"/>
    <w:rsid w:val="00052BF2"/>
    <w:rsid w:val="00053580"/>
    <w:rsid w:val="000535B5"/>
    <w:rsid w:val="00053638"/>
    <w:rsid w:val="00053A2B"/>
    <w:rsid w:val="00053BFD"/>
    <w:rsid w:val="00053C4B"/>
    <w:rsid w:val="00053DDE"/>
    <w:rsid w:val="00053F8B"/>
    <w:rsid w:val="00053FE0"/>
    <w:rsid w:val="00054004"/>
    <w:rsid w:val="000542F9"/>
    <w:rsid w:val="000544F0"/>
    <w:rsid w:val="0005457C"/>
    <w:rsid w:val="00054C80"/>
    <w:rsid w:val="00054E6D"/>
    <w:rsid w:val="00054F8C"/>
    <w:rsid w:val="00054FE2"/>
    <w:rsid w:val="00055187"/>
    <w:rsid w:val="000551A3"/>
    <w:rsid w:val="000556D2"/>
    <w:rsid w:val="000556F9"/>
    <w:rsid w:val="0005580F"/>
    <w:rsid w:val="00055823"/>
    <w:rsid w:val="000558B1"/>
    <w:rsid w:val="0005598F"/>
    <w:rsid w:val="00055ED8"/>
    <w:rsid w:val="00055ED9"/>
    <w:rsid w:val="0005621A"/>
    <w:rsid w:val="000566B4"/>
    <w:rsid w:val="0005681A"/>
    <w:rsid w:val="000568F5"/>
    <w:rsid w:val="00056A1A"/>
    <w:rsid w:val="00056A73"/>
    <w:rsid w:val="00056ACA"/>
    <w:rsid w:val="00056C62"/>
    <w:rsid w:val="00056E91"/>
    <w:rsid w:val="000570A9"/>
    <w:rsid w:val="000570CA"/>
    <w:rsid w:val="00057586"/>
    <w:rsid w:val="00057C95"/>
    <w:rsid w:val="00057CBA"/>
    <w:rsid w:val="00057CE1"/>
    <w:rsid w:val="00060025"/>
    <w:rsid w:val="000600E9"/>
    <w:rsid w:val="000601FF"/>
    <w:rsid w:val="000604D5"/>
    <w:rsid w:val="00060B3A"/>
    <w:rsid w:val="00060CB1"/>
    <w:rsid w:val="00060D95"/>
    <w:rsid w:val="000612DB"/>
    <w:rsid w:val="000617C9"/>
    <w:rsid w:val="000619FB"/>
    <w:rsid w:val="00061EA3"/>
    <w:rsid w:val="0006215D"/>
    <w:rsid w:val="00063073"/>
    <w:rsid w:val="00063A85"/>
    <w:rsid w:val="00063D92"/>
    <w:rsid w:val="00064020"/>
    <w:rsid w:val="00064048"/>
    <w:rsid w:val="0006409F"/>
    <w:rsid w:val="0006423C"/>
    <w:rsid w:val="00064AD6"/>
    <w:rsid w:val="00064BC2"/>
    <w:rsid w:val="000650BA"/>
    <w:rsid w:val="000654FC"/>
    <w:rsid w:val="000655B2"/>
    <w:rsid w:val="000655D4"/>
    <w:rsid w:val="0006609C"/>
    <w:rsid w:val="000660BD"/>
    <w:rsid w:val="00066196"/>
    <w:rsid w:val="00066251"/>
    <w:rsid w:val="0006647D"/>
    <w:rsid w:val="0006713E"/>
    <w:rsid w:val="0006717D"/>
    <w:rsid w:val="0006718E"/>
    <w:rsid w:val="000673B0"/>
    <w:rsid w:val="0006777A"/>
    <w:rsid w:val="00067B51"/>
    <w:rsid w:val="00067E01"/>
    <w:rsid w:val="0007017F"/>
    <w:rsid w:val="00070235"/>
    <w:rsid w:val="0007066A"/>
    <w:rsid w:val="00070738"/>
    <w:rsid w:val="0007073E"/>
    <w:rsid w:val="000707D3"/>
    <w:rsid w:val="000712C2"/>
    <w:rsid w:val="00071606"/>
    <w:rsid w:val="00071BAD"/>
    <w:rsid w:val="00071FE0"/>
    <w:rsid w:val="00072035"/>
    <w:rsid w:val="00072559"/>
    <w:rsid w:val="00072B6A"/>
    <w:rsid w:val="00072C96"/>
    <w:rsid w:val="0007352C"/>
    <w:rsid w:val="00073572"/>
    <w:rsid w:val="00073CA3"/>
    <w:rsid w:val="00074112"/>
    <w:rsid w:val="000748F4"/>
    <w:rsid w:val="00074991"/>
    <w:rsid w:val="00074DF2"/>
    <w:rsid w:val="000750C0"/>
    <w:rsid w:val="000752ED"/>
    <w:rsid w:val="000757F0"/>
    <w:rsid w:val="00075CDD"/>
    <w:rsid w:val="00075D64"/>
    <w:rsid w:val="00075D8A"/>
    <w:rsid w:val="00075FF7"/>
    <w:rsid w:val="00076081"/>
    <w:rsid w:val="000760A9"/>
    <w:rsid w:val="00076509"/>
    <w:rsid w:val="00076616"/>
    <w:rsid w:val="00076684"/>
    <w:rsid w:val="00076696"/>
    <w:rsid w:val="000769BB"/>
    <w:rsid w:val="00077107"/>
    <w:rsid w:val="000773C5"/>
    <w:rsid w:val="0007744A"/>
    <w:rsid w:val="000776F2"/>
    <w:rsid w:val="00080068"/>
    <w:rsid w:val="0008092E"/>
    <w:rsid w:val="00081229"/>
    <w:rsid w:val="00081279"/>
    <w:rsid w:val="000819EE"/>
    <w:rsid w:val="00082111"/>
    <w:rsid w:val="00082150"/>
    <w:rsid w:val="000825D1"/>
    <w:rsid w:val="00082654"/>
    <w:rsid w:val="000827C9"/>
    <w:rsid w:val="00083DD8"/>
    <w:rsid w:val="00083E94"/>
    <w:rsid w:val="00083F89"/>
    <w:rsid w:val="00084105"/>
    <w:rsid w:val="0008422B"/>
    <w:rsid w:val="0008476F"/>
    <w:rsid w:val="00084F2D"/>
    <w:rsid w:val="00085261"/>
    <w:rsid w:val="0008538F"/>
    <w:rsid w:val="0008599D"/>
    <w:rsid w:val="00085B2D"/>
    <w:rsid w:val="00085E20"/>
    <w:rsid w:val="00085EC4"/>
    <w:rsid w:val="00086136"/>
    <w:rsid w:val="000863EE"/>
    <w:rsid w:val="0008644C"/>
    <w:rsid w:val="0008654A"/>
    <w:rsid w:val="000865AA"/>
    <w:rsid w:val="000866A6"/>
    <w:rsid w:val="00086799"/>
    <w:rsid w:val="00086927"/>
    <w:rsid w:val="00086ADF"/>
    <w:rsid w:val="00086AEA"/>
    <w:rsid w:val="00086FC7"/>
    <w:rsid w:val="000875A9"/>
    <w:rsid w:val="00087860"/>
    <w:rsid w:val="00087E0C"/>
    <w:rsid w:val="00090419"/>
    <w:rsid w:val="00090B5F"/>
    <w:rsid w:val="00091932"/>
    <w:rsid w:val="00091965"/>
    <w:rsid w:val="00091983"/>
    <w:rsid w:val="00091BE7"/>
    <w:rsid w:val="00091C58"/>
    <w:rsid w:val="00091D53"/>
    <w:rsid w:val="000921EC"/>
    <w:rsid w:val="0009231C"/>
    <w:rsid w:val="000923A7"/>
    <w:rsid w:val="000929FB"/>
    <w:rsid w:val="0009320B"/>
    <w:rsid w:val="000937B4"/>
    <w:rsid w:val="00093873"/>
    <w:rsid w:val="000938CC"/>
    <w:rsid w:val="00093DA7"/>
    <w:rsid w:val="000945F4"/>
    <w:rsid w:val="00094B94"/>
    <w:rsid w:val="00094F80"/>
    <w:rsid w:val="0009506B"/>
    <w:rsid w:val="0009531C"/>
    <w:rsid w:val="00095370"/>
    <w:rsid w:val="00095504"/>
    <w:rsid w:val="00095C32"/>
    <w:rsid w:val="00095ECA"/>
    <w:rsid w:val="00096375"/>
    <w:rsid w:val="000963EA"/>
    <w:rsid w:val="000964F8"/>
    <w:rsid w:val="00096C49"/>
    <w:rsid w:val="00096CC9"/>
    <w:rsid w:val="00096FEF"/>
    <w:rsid w:val="0009710B"/>
    <w:rsid w:val="00097152"/>
    <w:rsid w:val="00097240"/>
    <w:rsid w:val="000977F7"/>
    <w:rsid w:val="00097EF5"/>
    <w:rsid w:val="00097FAC"/>
    <w:rsid w:val="000A013E"/>
    <w:rsid w:val="000A01A8"/>
    <w:rsid w:val="000A035B"/>
    <w:rsid w:val="000A0CB5"/>
    <w:rsid w:val="000A0E11"/>
    <w:rsid w:val="000A114C"/>
    <w:rsid w:val="000A13E1"/>
    <w:rsid w:val="000A14C9"/>
    <w:rsid w:val="000A2148"/>
    <w:rsid w:val="000A249A"/>
    <w:rsid w:val="000A2B68"/>
    <w:rsid w:val="000A30F1"/>
    <w:rsid w:val="000A33D7"/>
    <w:rsid w:val="000A3483"/>
    <w:rsid w:val="000A3C18"/>
    <w:rsid w:val="000A3E14"/>
    <w:rsid w:val="000A3F28"/>
    <w:rsid w:val="000A40B7"/>
    <w:rsid w:val="000A4270"/>
    <w:rsid w:val="000A44AB"/>
    <w:rsid w:val="000A49D8"/>
    <w:rsid w:val="000A4F02"/>
    <w:rsid w:val="000A4FDC"/>
    <w:rsid w:val="000A5206"/>
    <w:rsid w:val="000A5379"/>
    <w:rsid w:val="000A53E6"/>
    <w:rsid w:val="000A571E"/>
    <w:rsid w:val="000A5E4C"/>
    <w:rsid w:val="000A628D"/>
    <w:rsid w:val="000A6770"/>
    <w:rsid w:val="000A6AE7"/>
    <w:rsid w:val="000A6DC9"/>
    <w:rsid w:val="000A741E"/>
    <w:rsid w:val="000A7601"/>
    <w:rsid w:val="000A76B8"/>
    <w:rsid w:val="000A7817"/>
    <w:rsid w:val="000A7C0E"/>
    <w:rsid w:val="000A7E0A"/>
    <w:rsid w:val="000A7E3E"/>
    <w:rsid w:val="000A7F17"/>
    <w:rsid w:val="000A7F7B"/>
    <w:rsid w:val="000B01CD"/>
    <w:rsid w:val="000B01FF"/>
    <w:rsid w:val="000B02B3"/>
    <w:rsid w:val="000B033D"/>
    <w:rsid w:val="000B03A2"/>
    <w:rsid w:val="000B0782"/>
    <w:rsid w:val="000B07DB"/>
    <w:rsid w:val="000B0C1F"/>
    <w:rsid w:val="000B0E69"/>
    <w:rsid w:val="000B1361"/>
    <w:rsid w:val="000B1611"/>
    <w:rsid w:val="000B17D4"/>
    <w:rsid w:val="000B1AA5"/>
    <w:rsid w:val="000B1AC7"/>
    <w:rsid w:val="000B2039"/>
    <w:rsid w:val="000B29ED"/>
    <w:rsid w:val="000B2C34"/>
    <w:rsid w:val="000B2C6D"/>
    <w:rsid w:val="000B2F7E"/>
    <w:rsid w:val="000B3070"/>
    <w:rsid w:val="000B30A0"/>
    <w:rsid w:val="000B35A9"/>
    <w:rsid w:val="000B374A"/>
    <w:rsid w:val="000B391E"/>
    <w:rsid w:val="000B4034"/>
    <w:rsid w:val="000B41D3"/>
    <w:rsid w:val="000B4339"/>
    <w:rsid w:val="000B4507"/>
    <w:rsid w:val="000B461A"/>
    <w:rsid w:val="000B4B58"/>
    <w:rsid w:val="000B542F"/>
    <w:rsid w:val="000B54AE"/>
    <w:rsid w:val="000B54F2"/>
    <w:rsid w:val="000B5579"/>
    <w:rsid w:val="000B5740"/>
    <w:rsid w:val="000B58F9"/>
    <w:rsid w:val="000B5D98"/>
    <w:rsid w:val="000B5FD7"/>
    <w:rsid w:val="000B66C0"/>
    <w:rsid w:val="000B68D4"/>
    <w:rsid w:val="000B6D46"/>
    <w:rsid w:val="000B6FD4"/>
    <w:rsid w:val="000B711C"/>
    <w:rsid w:val="000B7439"/>
    <w:rsid w:val="000B74A3"/>
    <w:rsid w:val="000B77B1"/>
    <w:rsid w:val="000B7ACD"/>
    <w:rsid w:val="000B7DEF"/>
    <w:rsid w:val="000B7FE0"/>
    <w:rsid w:val="000C0470"/>
    <w:rsid w:val="000C0545"/>
    <w:rsid w:val="000C0827"/>
    <w:rsid w:val="000C0C16"/>
    <w:rsid w:val="000C19D9"/>
    <w:rsid w:val="000C1E79"/>
    <w:rsid w:val="000C1FCF"/>
    <w:rsid w:val="000C2129"/>
    <w:rsid w:val="000C22E5"/>
    <w:rsid w:val="000C3313"/>
    <w:rsid w:val="000C35A9"/>
    <w:rsid w:val="000C39A7"/>
    <w:rsid w:val="000C3EA2"/>
    <w:rsid w:val="000C404D"/>
    <w:rsid w:val="000C40BC"/>
    <w:rsid w:val="000C4741"/>
    <w:rsid w:val="000C47A1"/>
    <w:rsid w:val="000C4C2C"/>
    <w:rsid w:val="000C4F6B"/>
    <w:rsid w:val="000C59DA"/>
    <w:rsid w:val="000C5AEA"/>
    <w:rsid w:val="000C5B27"/>
    <w:rsid w:val="000C5EB0"/>
    <w:rsid w:val="000C614A"/>
    <w:rsid w:val="000C616D"/>
    <w:rsid w:val="000C6318"/>
    <w:rsid w:val="000C6A0F"/>
    <w:rsid w:val="000C7103"/>
    <w:rsid w:val="000C71BD"/>
    <w:rsid w:val="000C76D6"/>
    <w:rsid w:val="000C7793"/>
    <w:rsid w:val="000C7A0C"/>
    <w:rsid w:val="000C7C54"/>
    <w:rsid w:val="000C7D17"/>
    <w:rsid w:val="000D02E5"/>
    <w:rsid w:val="000D04D2"/>
    <w:rsid w:val="000D0644"/>
    <w:rsid w:val="000D085C"/>
    <w:rsid w:val="000D0875"/>
    <w:rsid w:val="000D0A5E"/>
    <w:rsid w:val="000D0CD7"/>
    <w:rsid w:val="000D0E69"/>
    <w:rsid w:val="000D178D"/>
    <w:rsid w:val="000D182D"/>
    <w:rsid w:val="000D19D5"/>
    <w:rsid w:val="000D1CBF"/>
    <w:rsid w:val="000D20D8"/>
    <w:rsid w:val="000D221D"/>
    <w:rsid w:val="000D23C2"/>
    <w:rsid w:val="000D262C"/>
    <w:rsid w:val="000D2815"/>
    <w:rsid w:val="000D2A8B"/>
    <w:rsid w:val="000D2A91"/>
    <w:rsid w:val="000D2D02"/>
    <w:rsid w:val="000D31A2"/>
    <w:rsid w:val="000D31B6"/>
    <w:rsid w:val="000D3684"/>
    <w:rsid w:val="000D3CAF"/>
    <w:rsid w:val="000D4463"/>
    <w:rsid w:val="000D4DBB"/>
    <w:rsid w:val="000D4F05"/>
    <w:rsid w:val="000D5886"/>
    <w:rsid w:val="000D5C46"/>
    <w:rsid w:val="000D5D0D"/>
    <w:rsid w:val="000D5D36"/>
    <w:rsid w:val="000D6C5B"/>
    <w:rsid w:val="000D6E18"/>
    <w:rsid w:val="000D7084"/>
    <w:rsid w:val="000D72C7"/>
    <w:rsid w:val="000D72D6"/>
    <w:rsid w:val="000D7781"/>
    <w:rsid w:val="000D78FE"/>
    <w:rsid w:val="000E0129"/>
    <w:rsid w:val="000E054D"/>
    <w:rsid w:val="000E05D9"/>
    <w:rsid w:val="000E0B3D"/>
    <w:rsid w:val="000E0B3E"/>
    <w:rsid w:val="000E0DCB"/>
    <w:rsid w:val="000E0E63"/>
    <w:rsid w:val="000E0E75"/>
    <w:rsid w:val="000E104D"/>
    <w:rsid w:val="000E12E0"/>
    <w:rsid w:val="000E1856"/>
    <w:rsid w:val="000E1A74"/>
    <w:rsid w:val="000E1BA1"/>
    <w:rsid w:val="000E1C29"/>
    <w:rsid w:val="000E1F26"/>
    <w:rsid w:val="000E228A"/>
    <w:rsid w:val="000E238A"/>
    <w:rsid w:val="000E27F8"/>
    <w:rsid w:val="000E280A"/>
    <w:rsid w:val="000E32A1"/>
    <w:rsid w:val="000E32D1"/>
    <w:rsid w:val="000E36B9"/>
    <w:rsid w:val="000E3AE7"/>
    <w:rsid w:val="000E3BB3"/>
    <w:rsid w:val="000E3D81"/>
    <w:rsid w:val="000E46B4"/>
    <w:rsid w:val="000E517F"/>
    <w:rsid w:val="000E53A2"/>
    <w:rsid w:val="000E58AB"/>
    <w:rsid w:val="000E58F6"/>
    <w:rsid w:val="000E5BF4"/>
    <w:rsid w:val="000E5C28"/>
    <w:rsid w:val="000E61CB"/>
    <w:rsid w:val="000E630F"/>
    <w:rsid w:val="000E668C"/>
    <w:rsid w:val="000E676B"/>
    <w:rsid w:val="000E7315"/>
    <w:rsid w:val="000E73D6"/>
    <w:rsid w:val="000E7A30"/>
    <w:rsid w:val="000E7F08"/>
    <w:rsid w:val="000F0275"/>
    <w:rsid w:val="000F04BB"/>
    <w:rsid w:val="000F062A"/>
    <w:rsid w:val="000F0BF5"/>
    <w:rsid w:val="000F0DEC"/>
    <w:rsid w:val="000F0E35"/>
    <w:rsid w:val="000F0E59"/>
    <w:rsid w:val="000F10D1"/>
    <w:rsid w:val="000F13FF"/>
    <w:rsid w:val="000F142A"/>
    <w:rsid w:val="000F1746"/>
    <w:rsid w:val="000F1793"/>
    <w:rsid w:val="000F1888"/>
    <w:rsid w:val="000F1AD2"/>
    <w:rsid w:val="000F1C57"/>
    <w:rsid w:val="000F2327"/>
    <w:rsid w:val="000F23FD"/>
    <w:rsid w:val="000F264E"/>
    <w:rsid w:val="000F2C75"/>
    <w:rsid w:val="000F2E7E"/>
    <w:rsid w:val="000F30FC"/>
    <w:rsid w:val="000F3195"/>
    <w:rsid w:val="000F36C7"/>
    <w:rsid w:val="000F38A7"/>
    <w:rsid w:val="000F38DF"/>
    <w:rsid w:val="000F3B89"/>
    <w:rsid w:val="000F3DB6"/>
    <w:rsid w:val="000F3E15"/>
    <w:rsid w:val="000F405D"/>
    <w:rsid w:val="000F40D5"/>
    <w:rsid w:val="000F4347"/>
    <w:rsid w:val="000F45EA"/>
    <w:rsid w:val="000F48C7"/>
    <w:rsid w:val="000F494E"/>
    <w:rsid w:val="000F4975"/>
    <w:rsid w:val="000F4BC3"/>
    <w:rsid w:val="000F538D"/>
    <w:rsid w:val="000F5408"/>
    <w:rsid w:val="000F5470"/>
    <w:rsid w:val="000F59F7"/>
    <w:rsid w:val="000F5AC7"/>
    <w:rsid w:val="000F5BE7"/>
    <w:rsid w:val="000F5C2B"/>
    <w:rsid w:val="000F5C40"/>
    <w:rsid w:val="000F6224"/>
    <w:rsid w:val="000F660C"/>
    <w:rsid w:val="000F661A"/>
    <w:rsid w:val="000F6AF9"/>
    <w:rsid w:val="000F6B8F"/>
    <w:rsid w:val="000F6BAD"/>
    <w:rsid w:val="000F6FBD"/>
    <w:rsid w:val="000F7161"/>
    <w:rsid w:val="000F7332"/>
    <w:rsid w:val="000F7D0C"/>
    <w:rsid w:val="00100527"/>
    <w:rsid w:val="00100772"/>
    <w:rsid w:val="001007A1"/>
    <w:rsid w:val="0010094B"/>
    <w:rsid w:val="00100CF0"/>
    <w:rsid w:val="00100D95"/>
    <w:rsid w:val="001010C6"/>
    <w:rsid w:val="001015AD"/>
    <w:rsid w:val="00101740"/>
    <w:rsid w:val="00101B03"/>
    <w:rsid w:val="00101F7E"/>
    <w:rsid w:val="001032E3"/>
    <w:rsid w:val="00103329"/>
    <w:rsid w:val="00103649"/>
    <w:rsid w:val="00103C2F"/>
    <w:rsid w:val="00103C9F"/>
    <w:rsid w:val="00103D8D"/>
    <w:rsid w:val="00104521"/>
    <w:rsid w:val="00104AAF"/>
    <w:rsid w:val="00104C17"/>
    <w:rsid w:val="00104D0A"/>
    <w:rsid w:val="00104F5D"/>
    <w:rsid w:val="00105515"/>
    <w:rsid w:val="0010554A"/>
    <w:rsid w:val="0010581F"/>
    <w:rsid w:val="001058B6"/>
    <w:rsid w:val="00105B52"/>
    <w:rsid w:val="00105D5C"/>
    <w:rsid w:val="00105FE0"/>
    <w:rsid w:val="001060AB"/>
    <w:rsid w:val="001060DA"/>
    <w:rsid w:val="001068A1"/>
    <w:rsid w:val="00106AE9"/>
    <w:rsid w:val="00106B85"/>
    <w:rsid w:val="00106BEB"/>
    <w:rsid w:val="001071C1"/>
    <w:rsid w:val="00107347"/>
    <w:rsid w:val="00107B1E"/>
    <w:rsid w:val="00107B4E"/>
    <w:rsid w:val="00107FA2"/>
    <w:rsid w:val="0011010F"/>
    <w:rsid w:val="001105C4"/>
    <w:rsid w:val="00110A25"/>
    <w:rsid w:val="00110A53"/>
    <w:rsid w:val="00110D70"/>
    <w:rsid w:val="001112BF"/>
    <w:rsid w:val="00111840"/>
    <w:rsid w:val="00112144"/>
    <w:rsid w:val="00112284"/>
    <w:rsid w:val="00112F91"/>
    <w:rsid w:val="00113083"/>
    <w:rsid w:val="00113658"/>
    <w:rsid w:val="001136E9"/>
    <w:rsid w:val="00113CCC"/>
    <w:rsid w:val="00113FD9"/>
    <w:rsid w:val="001143F2"/>
    <w:rsid w:val="001144AC"/>
    <w:rsid w:val="001146CC"/>
    <w:rsid w:val="00114792"/>
    <w:rsid w:val="001148DF"/>
    <w:rsid w:val="0011524D"/>
    <w:rsid w:val="00115327"/>
    <w:rsid w:val="001159AE"/>
    <w:rsid w:val="00115B0D"/>
    <w:rsid w:val="00115DC3"/>
    <w:rsid w:val="0011657B"/>
    <w:rsid w:val="001166CD"/>
    <w:rsid w:val="001168A7"/>
    <w:rsid w:val="00116D7E"/>
    <w:rsid w:val="001170B4"/>
    <w:rsid w:val="0011733C"/>
    <w:rsid w:val="001179EF"/>
    <w:rsid w:val="00117A17"/>
    <w:rsid w:val="00120022"/>
    <w:rsid w:val="001201A4"/>
    <w:rsid w:val="0012036E"/>
    <w:rsid w:val="00120623"/>
    <w:rsid w:val="00120885"/>
    <w:rsid w:val="00120C1C"/>
    <w:rsid w:val="00120EE4"/>
    <w:rsid w:val="0012102C"/>
    <w:rsid w:val="001210BA"/>
    <w:rsid w:val="00121219"/>
    <w:rsid w:val="00121718"/>
    <w:rsid w:val="00121879"/>
    <w:rsid w:val="00121A52"/>
    <w:rsid w:val="00121CC6"/>
    <w:rsid w:val="00121D7C"/>
    <w:rsid w:val="00121D7F"/>
    <w:rsid w:val="0012205B"/>
    <w:rsid w:val="001220C0"/>
    <w:rsid w:val="00122832"/>
    <w:rsid w:val="001229D2"/>
    <w:rsid w:val="00123205"/>
    <w:rsid w:val="001234A0"/>
    <w:rsid w:val="00123646"/>
    <w:rsid w:val="001237C4"/>
    <w:rsid w:val="00124052"/>
    <w:rsid w:val="0012442A"/>
    <w:rsid w:val="0012447E"/>
    <w:rsid w:val="001244CA"/>
    <w:rsid w:val="001247CC"/>
    <w:rsid w:val="00124A96"/>
    <w:rsid w:val="00124C3B"/>
    <w:rsid w:val="0012515C"/>
    <w:rsid w:val="00125420"/>
    <w:rsid w:val="00125A39"/>
    <w:rsid w:val="00125A5C"/>
    <w:rsid w:val="00125EEB"/>
    <w:rsid w:val="0012619A"/>
    <w:rsid w:val="0012684B"/>
    <w:rsid w:val="001268C1"/>
    <w:rsid w:val="00126AE9"/>
    <w:rsid w:val="00126D52"/>
    <w:rsid w:val="0012715D"/>
    <w:rsid w:val="001272D8"/>
    <w:rsid w:val="00127C15"/>
    <w:rsid w:val="00127FA8"/>
    <w:rsid w:val="0013030F"/>
    <w:rsid w:val="0013055B"/>
    <w:rsid w:val="00130661"/>
    <w:rsid w:val="001309C3"/>
    <w:rsid w:val="00130F01"/>
    <w:rsid w:val="00131102"/>
    <w:rsid w:val="001315BF"/>
    <w:rsid w:val="00131FDB"/>
    <w:rsid w:val="001321BA"/>
    <w:rsid w:val="0013290D"/>
    <w:rsid w:val="00132B95"/>
    <w:rsid w:val="00133024"/>
    <w:rsid w:val="001334A8"/>
    <w:rsid w:val="0013358D"/>
    <w:rsid w:val="00133717"/>
    <w:rsid w:val="00133AC6"/>
    <w:rsid w:val="00133AEB"/>
    <w:rsid w:val="0013402E"/>
    <w:rsid w:val="001341BE"/>
    <w:rsid w:val="001342D8"/>
    <w:rsid w:val="001344C1"/>
    <w:rsid w:val="00134583"/>
    <w:rsid w:val="00134B52"/>
    <w:rsid w:val="00134BCE"/>
    <w:rsid w:val="00134F1D"/>
    <w:rsid w:val="001351E9"/>
    <w:rsid w:val="0013531E"/>
    <w:rsid w:val="001354CE"/>
    <w:rsid w:val="00135A19"/>
    <w:rsid w:val="00135A3A"/>
    <w:rsid w:val="00135AC9"/>
    <w:rsid w:val="00135CE7"/>
    <w:rsid w:val="00136366"/>
    <w:rsid w:val="0013660A"/>
    <w:rsid w:val="00136653"/>
    <w:rsid w:val="0013674B"/>
    <w:rsid w:val="001367A2"/>
    <w:rsid w:val="00136835"/>
    <w:rsid w:val="00136995"/>
    <w:rsid w:val="00136A85"/>
    <w:rsid w:val="0013753D"/>
    <w:rsid w:val="0013783A"/>
    <w:rsid w:val="00137945"/>
    <w:rsid w:val="0013794B"/>
    <w:rsid w:val="00137A76"/>
    <w:rsid w:val="00137A90"/>
    <w:rsid w:val="00137CED"/>
    <w:rsid w:val="00137F0A"/>
    <w:rsid w:val="0014002F"/>
    <w:rsid w:val="00140448"/>
    <w:rsid w:val="001409AC"/>
    <w:rsid w:val="00140AE2"/>
    <w:rsid w:val="00140E19"/>
    <w:rsid w:val="00140FD6"/>
    <w:rsid w:val="00141203"/>
    <w:rsid w:val="00141339"/>
    <w:rsid w:val="001413B6"/>
    <w:rsid w:val="001415D8"/>
    <w:rsid w:val="00141959"/>
    <w:rsid w:val="00141A3E"/>
    <w:rsid w:val="00141AD5"/>
    <w:rsid w:val="00141D6F"/>
    <w:rsid w:val="00141E2C"/>
    <w:rsid w:val="001423B6"/>
    <w:rsid w:val="00142924"/>
    <w:rsid w:val="00142AAF"/>
    <w:rsid w:val="00142C98"/>
    <w:rsid w:val="00142CFA"/>
    <w:rsid w:val="00143404"/>
    <w:rsid w:val="00144A46"/>
    <w:rsid w:val="00144C55"/>
    <w:rsid w:val="0014502B"/>
    <w:rsid w:val="001457CD"/>
    <w:rsid w:val="00145B9A"/>
    <w:rsid w:val="00145D86"/>
    <w:rsid w:val="00145FEC"/>
    <w:rsid w:val="001463C5"/>
    <w:rsid w:val="0014679E"/>
    <w:rsid w:val="00146B64"/>
    <w:rsid w:val="00146F25"/>
    <w:rsid w:val="00147028"/>
    <w:rsid w:val="0014714A"/>
    <w:rsid w:val="00147466"/>
    <w:rsid w:val="00147545"/>
    <w:rsid w:val="00147A46"/>
    <w:rsid w:val="00147A71"/>
    <w:rsid w:val="0015010A"/>
    <w:rsid w:val="00150112"/>
    <w:rsid w:val="001502AE"/>
    <w:rsid w:val="001503C0"/>
    <w:rsid w:val="00150B63"/>
    <w:rsid w:val="00150F0C"/>
    <w:rsid w:val="00150F50"/>
    <w:rsid w:val="00150F7D"/>
    <w:rsid w:val="00151426"/>
    <w:rsid w:val="00151798"/>
    <w:rsid w:val="0015189C"/>
    <w:rsid w:val="001518D7"/>
    <w:rsid w:val="001519A1"/>
    <w:rsid w:val="001519CE"/>
    <w:rsid w:val="00151B47"/>
    <w:rsid w:val="00151B87"/>
    <w:rsid w:val="00152100"/>
    <w:rsid w:val="001522A0"/>
    <w:rsid w:val="0015244E"/>
    <w:rsid w:val="00152482"/>
    <w:rsid w:val="001524D9"/>
    <w:rsid w:val="00152995"/>
    <w:rsid w:val="00152A8B"/>
    <w:rsid w:val="00152BF2"/>
    <w:rsid w:val="00152DE6"/>
    <w:rsid w:val="00152EEA"/>
    <w:rsid w:val="00152FAE"/>
    <w:rsid w:val="00153316"/>
    <w:rsid w:val="00153668"/>
    <w:rsid w:val="00153706"/>
    <w:rsid w:val="00153882"/>
    <w:rsid w:val="0015409F"/>
    <w:rsid w:val="001545B5"/>
    <w:rsid w:val="0015461F"/>
    <w:rsid w:val="00154630"/>
    <w:rsid w:val="00154696"/>
    <w:rsid w:val="001549E7"/>
    <w:rsid w:val="00154D3A"/>
    <w:rsid w:val="00154DB3"/>
    <w:rsid w:val="001555E2"/>
    <w:rsid w:val="00155788"/>
    <w:rsid w:val="0015579C"/>
    <w:rsid w:val="001558B8"/>
    <w:rsid w:val="001558E8"/>
    <w:rsid w:val="0015591F"/>
    <w:rsid w:val="00156BA7"/>
    <w:rsid w:val="00156CDE"/>
    <w:rsid w:val="00156DE4"/>
    <w:rsid w:val="001574D8"/>
    <w:rsid w:val="001574E2"/>
    <w:rsid w:val="00157549"/>
    <w:rsid w:val="0016066D"/>
    <w:rsid w:val="00160712"/>
    <w:rsid w:val="00160823"/>
    <w:rsid w:val="00160A45"/>
    <w:rsid w:val="00160A88"/>
    <w:rsid w:val="00160F05"/>
    <w:rsid w:val="0016103F"/>
    <w:rsid w:val="00161098"/>
    <w:rsid w:val="0016171E"/>
    <w:rsid w:val="00161867"/>
    <w:rsid w:val="0016188F"/>
    <w:rsid w:val="00161AA2"/>
    <w:rsid w:val="00161D39"/>
    <w:rsid w:val="001621B5"/>
    <w:rsid w:val="00162423"/>
    <w:rsid w:val="00163301"/>
    <w:rsid w:val="0016331B"/>
    <w:rsid w:val="0016364D"/>
    <w:rsid w:val="0016373B"/>
    <w:rsid w:val="00163B41"/>
    <w:rsid w:val="00163C35"/>
    <w:rsid w:val="00163E16"/>
    <w:rsid w:val="00163F37"/>
    <w:rsid w:val="0016412C"/>
    <w:rsid w:val="0016427B"/>
    <w:rsid w:val="00164564"/>
    <w:rsid w:val="001648F3"/>
    <w:rsid w:val="00164C76"/>
    <w:rsid w:val="00165223"/>
    <w:rsid w:val="00165711"/>
    <w:rsid w:val="00165A3B"/>
    <w:rsid w:val="00165D37"/>
    <w:rsid w:val="00165E25"/>
    <w:rsid w:val="00165E97"/>
    <w:rsid w:val="00165EFC"/>
    <w:rsid w:val="00165F41"/>
    <w:rsid w:val="00166201"/>
    <w:rsid w:val="001664DD"/>
    <w:rsid w:val="001665DC"/>
    <w:rsid w:val="0016677E"/>
    <w:rsid w:val="00166A17"/>
    <w:rsid w:val="00166AF3"/>
    <w:rsid w:val="0016731C"/>
    <w:rsid w:val="001677D9"/>
    <w:rsid w:val="0016790F"/>
    <w:rsid w:val="00167FB4"/>
    <w:rsid w:val="001702FF"/>
    <w:rsid w:val="00170391"/>
    <w:rsid w:val="0017068D"/>
    <w:rsid w:val="001706BD"/>
    <w:rsid w:val="00170846"/>
    <w:rsid w:val="00170911"/>
    <w:rsid w:val="00170B84"/>
    <w:rsid w:val="00170C56"/>
    <w:rsid w:val="00170CA1"/>
    <w:rsid w:val="001710F7"/>
    <w:rsid w:val="00171F12"/>
    <w:rsid w:val="00171FF7"/>
    <w:rsid w:val="00172BE0"/>
    <w:rsid w:val="00172CD0"/>
    <w:rsid w:val="00173055"/>
    <w:rsid w:val="0017312E"/>
    <w:rsid w:val="00173286"/>
    <w:rsid w:val="0017339E"/>
    <w:rsid w:val="00173A00"/>
    <w:rsid w:val="00173DF2"/>
    <w:rsid w:val="00174363"/>
    <w:rsid w:val="00174534"/>
    <w:rsid w:val="00174690"/>
    <w:rsid w:val="00174783"/>
    <w:rsid w:val="00174849"/>
    <w:rsid w:val="00174A08"/>
    <w:rsid w:val="00174B81"/>
    <w:rsid w:val="00174C0E"/>
    <w:rsid w:val="00174E40"/>
    <w:rsid w:val="00174FF9"/>
    <w:rsid w:val="00175091"/>
    <w:rsid w:val="00175126"/>
    <w:rsid w:val="00175316"/>
    <w:rsid w:val="00175FFE"/>
    <w:rsid w:val="0017609F"/>
    <w:rsid w:val="001761FA"/>
    <w:rsid w:val="0017627F"/>
    <w:rsid w:val="0017631C"/>
    <w:rsid w:val="00176385"/>
    <w:rsid w:val="00176435"/>
    <w:rsid w:val="00176464"/>
    <w:rsid w:val="001765A8"/>
    <w:rsid w:val="0017680B"/>
    <w:rsid w:val="00176961"/>
    <w:rsid w:val="00176B13"/>
    <w:rsid w:val="00176CF7"/>
    <w:rsid w:val="00176EFC"/>
    <w:rsid w:val="0017706C"/>
    <w:rsid w:val="00177426"/>
    <w:rsid w:val="001776B0"/>
    <w:rsid w:val="00177B6D"/>
    <w:rsid w:val="00177EB7"/>
    <w:rsid w:val="0018003E"/>
    <w:rsid w:val="00180719"/>
    <w:rsid w:val="00180745"/>
    <w:rsid w:val="00180895"/>
    <w:rsid w:val="00180ACF"/>
    <w:rsid w:val="001811BB"/>
    <w:rsid w:val="00181689"/>
    <w:rsid w:val="00181770"/>
    <w:rsid w:val="0018180F"/>
    <w:rsid w:val="00181A0A"/>
    <w:rsid w:val="00181ADF"/>
    <w:rsid w:val="001821AA"/>
    <w:rsid w:val="001821EA"/>
    <w:rsid w:val="00182496"/>
    <w:rsid w:val="00182A23"/>
    <w:rsid w:val="00182C37"/>
    <w:rsid w:val="001830F6"/>
    <w:rsid w:val="00183216"/>
    <w:rsid w:val="001832CD"/>
    <w:rsid w:val="001835B0"/>
    <w:rsid w:val="0018393E"/>
    <w:rsid w:val="00183B6F"/>
    <w:rsid w:val="00184577"/>
    <w:rsid w:val="00184B89"/>
    <w:rsid w:val="00184E78"/>
    <w:rsid w:val="001851A1"/>
    <w:rsid w:val="00185CA7"/>
    <w:rsid w:val="00185F72"/>
    <w:rsid w:val="00186AB0"/>
    <w:rsid w:val="00186F6C"/>
    <w:rsid w:val="0018714D"/>
    <w:rsid w:val="001872A5"/>
    <w:rsid w:val="00187319"/>
    <w:rsid w:val="00187470"/>
    <w:rsid w:val="001874BC"/>
    <w:rsid w:val="0018768D"/>
    <w:rsid w:val="001878FE"/>
    <w:rsid w:val="0018792D"/>
    <w:rsid w:val="00187C31"/>
    <w:rsid w:val="00187F07"/>
    <w:rsid w:val="001901F4"/>
    <w:rsid w:val="001902FB"/>
    <w:rsid w:val="0019060C"/>
    <w:rsid w:val="001906AA"/>
    <w:rsid w:val="00190788"/>
    <w:rsid w:val="00190D0B"/>
    <w:rsid w:val="00191042"/>
    <w:rsid w:val="00191495"/>
    <w:rsid w:val="00191596"/>
    <w:rsid w:val="00191794"/>
    <w:rsid w:val="001919CA"/>
    <w:rsid w:val="00191C0C"/>
    <w:rsid w:val="001924D0"/>
    <w:rsid w:val="001926BE"/>
    <w:rsid w:val="001928B0"/>
    <w:rsid w:val="001929B9"/>
    <w:rsid w:val="00192C9E"/>
    <w:rsid w:val="00192EDC"/>
    <w:rsid w:val="0019387E"/>
    <w:rsid w:val="00193A2E"/>
    <w:rsid w:val="00193CA6"/>
    <w:rsid w:val="00193DA0"/>
    <w:rsid w:val="00193DFF"/>
    <w:rsid w:val="00193F52"/>
    <w:rsid w:val="00193FF6"/>
    <w:rsid w:val="00194342"/>
    <w:rsid w:val="00194456"/>
    <w:rsid w:val="00194556"/>
    <w:rsid w:val="00194841"/>
    <w:rsid w:val="00194987"/>
    <w:rsid w:val="00194B28"/>
    <w:rsid w:val="0019506A"/>
    <w:rsid w:val="00195669"/>
    <w:rsid w:val="001956C9"/>
    <w:rsid w:val="00195786"/>
    <w:rsid w:val="00195F28"/>
    <w:rsid w:val="00195F3D"/>
    <w:rsid w:val="00196012"/>
    <w:rsid w:val="001963A2"/>
    <w:rsid w:val="00196634"/>
    <w:rsid w:val="00196691"/>
    <w:rsid w:val="00196AE0"/>
    <w:rsid w:val="00196CDF"/>
    <w:rsid w:val="00196E27"/>
    <w:rsid w:val="001974F1"/>
    <w:rsid w:val="00197593"/>
    <w:rsid w:val="001976E4"/>
    <w:rsid w:val="001978F0"/>
    <w:rsid w:val="00197B93"/>
    <w:rsid w:val="00197C37"/>
    <w:rsid w:val="00197CF6"/>
    <w:rsid w:val="00197F3F"/>
    <w:rsid w:val="001A0068"/>
    <w:rsid w:val="001A05D8"/>
    <w:rsid w:val="001A0753"/>
    <w:rsid w:val="001A081B"/>
    <w:rsid w:val="001A0881"/>
    <w:rsid w:val="001A0F8B"/>
    <w:rsid w:val="001A10A8"/>
    <w:rsid w:val="001A1913"/>
    <w:rsid w:val="001A1F1B"/>
    <w:rsid w:val="001A212C"/>
    <w:rsid w:val="001A25CE"/>
    <w:rsid w:val="001A2840"/>
    <w:rsid w:val="001A2ED2"/>
    <w:rsid w:val="001A3656"/>
    <w:rsid w:val="001A367F"/>
    <w:rsid w:val="001A3AA3"/>
    <w:rsid w:val="001A3B97"/>
    <w:rsid w:val="001A3D18"/>
    <w:rsid w:val="001A4024"/>
    <w:rsid w:val="001A4603"/>
    <w:rsid w:val="001A4605"/>
    <w:rsid w:val="001A485E"/>
    <w:rsid w:val="001A4C40"/>
    <w:rsid w:val="001A4CB8"/>
    <w:rsid w:val="001A4DE0"/>
    <w:rsid w:val="001A5521"/>
    <w:rsid w:val="001A588B"/>
    <w:rsid w:val="001A5A9C"/>
    <w:rsid w:val="001A606E"/>
    <w:rsid w:val="001A6195"/>
    <w:rsid w:val="001A64D1"/>
    <w:rsid w:val="001A66A7"/>
    <w:rsid w:val="001A6831"/>
    <w:rsid w:val="001A69C7"/>
    <w:rsid w:val="001A6BBD"/>
    <w:rsid w:val="001A7CAC"/>
    <w:rsid w:val="001A7F59"/>
    <w:rsid w:val="001A7FD8"/>
    <w:rsid w:val="001B0266"/>
    <w:rsid w:val="001B02EA"/>
    <w:rsid w:val="001B05A7"/>
    <w:rsid w:val="001B0BED"/>
    <w:rsid w:val="001B11E5"/>
    <w:rsid w:val="001B1359"/>
    <w:rsid w:val="001B137E"/>
    <w:rsid w:val="001B1461"/>
    <w:rsid w:val="001B1759"/>
    <w:rsid w:val="001B1AF0"/>
    <w:rsid w:val="001B21CA"/>
    <w:rsid w:val="001B2790"/>
    <w:rsid w:val="001B2B91"/>
    <w:rsid w:val="001B2ED1"/>
    <w:rsid w:val="001B2FA3"/>
    <w:rsid w:val="001B385F"/>
    <w:rsid w:val="001B4033"/>
    <w:rsid w:val="001B428C"/>
    <w:rsid w:val="001B45E2"/>
    <w:rsid w:val="001B4EC5"/>
    <w:rsid w:val="001B4ED5"/>
    <w:rsid w:val="001B51F8"/>
    <w:rsid w:val="001B54EC"/>
    <w:rsid w:val="001B5867"/>
    <w:rsid w:val="001B59D3"/>
    <w:rsid w:val="001B5D9B"/>
    <w:rsid w:val="001B5D9C"/>
    <w:rsid w:val="001B5E5B"/>
    <w:rsid w:val="001B5E90"/>
    <w:rsid w:val="001B6874"/>
    <w:rsid w:val="001B6E30"/>
    <w:rsid w:val="001B705C"/>
    <w:rsid w:val="001B7453"/>
    <w:rsid w:val="001B77B5"/>
    <w:rsid w:val="001C0270"/>
    <w:rsid w:val="001C0463"/>
    <w:rsid w:val="001C0666"/>
    <w:rsid w:val="001C0FEB"/>
    <w:rsid w:val="001C133A"/>
    <w:rsid w:val="001C15A6"/>
    <w:rsid w:val="001C20F5"/>
    <w:rsid w:val="001C22DF"/>
    <w:rsid w:val="001C2817"/>
    <w:rsid w:val="001C2A66"/>
    <w:rsid w:val="001C2A77"/>
    <w:rsid w:val="001C2AA7"/>
    <w:rsid w:val="001C2ABC"/>
    <w:rsid w:val="001C33F8"/>
    <w:rsid w:val="001C3410"/>
    <w:rsid w:val="001C375E"/>
    <w:rsid w:val="001C3847"/>
    <w:rsid w:val="001C3A34"/>
    <w:rsid w:val="001C3B59"/>
    <w:rsid w:val="001C41FC"/>
    <w:rsid w:val="001C4214"/>
    <w:rsid w:val="001C4A8F"/>
    <w:rsid w:val="001C4D02"/>
    <w:rsid w:val="001C54EC"/>
    <w:rsid w:val="001C5840"/>
    <w:rsid w:val="001C58BC"/>
    <w:rsid w:val="001C5A3B"/>
    <w:rsid w:val="001C5C14"/>
    <w:rsid w:val="001C63EC"/>
    <w:rsid w:val="001C6659"/>
    <w:rsid w:val="001C67A3"/>
    <w:rsid w:val="001C6BD0"/>
    <w:rsid w:val="001C6CEE"/>
    <w:rsid w:val="001C6D68"/>
    <w:rsid w:val="001C6EBC"/>
    <w:rsid w:val="001C7052"/>
    <w:rsid w:val="001C71D9"/>
    <w:rsid w:val="001C75B6"/>
    <w:rsid w:val="001C75EA"/>
    <w:rsid w:val="001D0139"/>
    <w:rsid w:val="001D065F"/>
    <w:rsid w:val="001D0832"/>
    <w:rsid w:val="001D0A9F"/>
    <w:rsid w:val="001D0D5D"/>
    <w:rsid w:val="001D0DCF"/>
    <w:rsid w:val="001D167C"/>
    <w:rsid w:val="001D1A76"/>
    <w:rsid w:val="001D1FC5"/>
    <w:rsid w:val="001D2BAB"/>
    <w:rsid w:val="001D2D54"/>
    <w:rsid w:val="001D2F93"/>
    <w:rsid w:val="001D3018"/>
    <w:rsid w:val="001D3DF2"/>
    <w:rsid w:val="001D3E1C"/>
    <w:rsid w:val="001D3EE3"/>
    <w:rsid w:val="001D4099"/>
    <w:rsid w:val="001D44C7"/>
    <w:rsid w:val="001D4A38"/>
    <w:rsid w:val="001D4EAC"/>
    <w:rsid w:val="001D524E"/>
    <w:rsid w:val="001D57B2"/>
    <w:rsid w:val="001D60E3"/>
    <w:rsid w:val="001D60F2"/>
    <w:rsid w:val="001D6633"/>
    <w:rsid w:val="001D6671"/>
    <w:rsid w:val="001D66B8"/>
    <w:rsid w:val="001D6E98"/>
    <w:rsid w:val="001D6F7D"/>
    <w:rsid w:val="001D70E1"/>
    <w:rsid w:val="001D7692"/>
    <w:rsid w:val="001D784C"/>
    <w:rsid w:val="001D7946"/>
    <w:rsid w:val="001D795E"/>
    <w:rsid w:val="001D7A89"/>
    <w:rsid w:val="001D7FC2"/>
    <w:rsid w:val="001E0018"/>
    <w:rsid w:val="001E0095"/>
    <w:rsid w:val="001E01ED"/>
    <w:rsid w:val="001E02CB"/>
    <w:rsid w:val="001E06BE"/>
    <w:rsid w:val="001E0A65"/>
    <w:rsid w:val="001E0E7F"/>
    <w:rsid w:val="001E11E0"/>
    <w:rsid w:val="001E12BA"/>
    <w:rsid w:val="001E15B3"/>
    <w:rsid w:val="001E1FCD"/>
    <w:rsid w:val="001E2371"/>
    <w:rsid w:val="001E23B8"/>
    <w:rsid w:val="001E2728"/>
    <w:rsid w:val="001E2C27"/>
    <w:rsid w:val="001E3144"/>
    <w:rsid w:val="001E3662"/>
    <w:rsid w:val="001E3887"/>
    <w:rsid w:val="001E391D"/>
    <w:rsid w:val="001E4212"/>
    <w:rsid w:val="001E4849"/>
    <w:rsid w:val="001E4DC3"/>
    <w:rsid w:val="001E4E38"/>
    <w:rsid w:val="001E4E80"/>
    <w:rsid w:val="001E5222"/>
    <w:rsid w:val="001E52E0"/>
    <w:rsid w:val="001E52FA"/>
    <w:rsid w:val="001E535F"/>
    <w:rsid w:val="001E54CE"/>
    <w:rsid w:val="001E54D7"/>
    <w:rsid w:val="001E5797"/>
    <w:rsid w:val="001E5984"/>
    <w:rsid w:val="001E5991"/>
    <w:rsid w:val="001E5AE4"/>
    <w:rsid w:val="001E63FC"/>
    <w:rsid w:val="001E641C"/>
    <w:rsid w:val="001E642A"/>
    <w:rsid w:val="001E6998"/>
    <w:rsid w:val="001E6B91"/>
    <w:rsid w:val="001E7E5C"/>
    <w:rsid w:val="001F004D"/>
    <w:rsid w:val="001F0271"/>
    <w:rsid w:val="001F0885"/>
    <w:rsid w:val="001F0978"/>
    <w:rsid w:val="001F0CE9"/>
    <w:rsid w:val="001F0D22"/>
    <w:rsid w:val="001F0D80"/>
    <w:rsid w:val="001F0E9E"/>
    <w:rsid w:val="001F106B"/>
    <w:rsid w:val="001F18FB"/>
    <w:rsid w:val="001F1942"/>
    <w:rsid w:val="001F19A0"/>
    <w:rsid w:val="001F1C10"/>
    <w:rsid w:val="001F1E9D"/>
    <w:rsid w:val="001F1FB5"/>
    <w:rsid w:val="001F2335"/>
    <w:rsid w:val="001F2C69"/>
    <w:rsid w:val="001F2D47"/>
    <w:rsid w:val="001F2F57"/>
    <w:rsid w:val="001F3315"/>
    <w:rsid w:val="001F3410"/>
    <w:rsid w:val="001F3953"/>
    <w:rsid w:val="001F3A4D"/>
    <w:rsid w:val="001F3CC6"/>
    <w:rsid w:val="001F3CFA"/>
    <w:rsid w:val="001F41DB"/>
    <w:rsid w:val="001F41EE"/>
    <w:rsid w:val="001F4214"/>
    <w:rsid w:val="001F4234"/>
    <w:rsid w:val="001F4397"/>
    <w:rsid w:val="001F43F7"/>
    <w:rsid w:val="001F47F7"/>
    <w:rsid w:val="001F4947"/>
    <w:rsid w:val="001F4EE7"/>
    <w:rsid w:val="001F5045"/>
    <w:rsid w:val="001F5372"/>
    <w:rsid w:val="001F5532"/>
    <w:rsid w:val="001F557E"/>
    <w:rsid w:val="001F58F1"/>
    <w:rsid w:val="001F5920"/>
    <w:rsid w:val="001F5970"/>
    <w:rsid w:val="001F5B7E"/>
    <w:rsid w:val="001F64B8"/>
    <w:rsid w:val="001F662E"/>
    <w:rsid w:val="001F6DFD"/>
    <w:rsid w:val="001F7480"/>
    <w:rsid w:val="001F77AB"/>
    <w:rsid w:val="001F7C6C"/>
    <w:rsid w:val="001F7D39"/>
    <w:rsid w:val="0020028A"/>
    <w:rsid w:val="0020035F"/>
    <w:rsid w:val="00200B1A"/>
    <w:rsid w:val="00200CFE"/>
    <w:rsid w:val="00200FD1"/>
    <w:rsid w:val="002014CE"/>
    <w:rsid w:val="00201557"/>
    <w:rsid w:val="00201685"/>
    <w:rsid w:val="00202668"/>
    <w:rsid w:val="002027BB"/>
    <w:rsid w:val="00202A64"/>
    <w:rsid w:val="00203356"/>
    <w:rsid w:val="002039F5"/>
    <w:rsid w:val="00203B19"/>
    <w:rsid w:val="00203F1F"/>
    <w:rsid w:val="00203F44"/>
    <w:rsid w:val="002040A7"/>
    <w:rsid w:val="002042E1"/>
    <w:rsid w:val="002045BA"/>
    <w:rsid w:val="00204A18"/>
    <w:rsid w:val="00204BA8"/>
    <w:rsid w:val="00204DB0"/>
    <w:rsid w:val="00205012"/>
    <w:rsid w:val="00205170"/>
    <w:rsid w:val="00205365"/>
    <w:rsid w:val="00205717"/>
    <w:rsid w:val="00205979"/>
    <w:rsid w:val="00205FCD"/>
    <w:rsid w:val="0020635C"/>
    <w:rsid w:val="00206409"/>
    <w:rsid w:val="00206493"/>
    <w:rsid w:val="00206720"/>
    <w:rsid w:val="002067E6"/>
    <w:rsid w:val="00206825"/>
    <w:rsid w:val="0020686B"/>
    <w:rsid w:val="002069B4"/>
    <w:rsid w:val="00206B9E"/>
    <w:rsid w:val="00206CDE"/>
    <w:rsid w:val="0020733F"/>
    <w:rsid w:val="002078EB"/>
    <w:rsid w:val="00207A4F"/>
    <w:rsid w:val="00207B7F"/>
    <w:rsid w:val="00210794"/>
    <w:rsid w:val="00211119"/>
    <w:rsid w:val="002111F4"/>
    <w:rsid w:val="0021149E"/>
    <w:rsid w:val="0021173D"/>
    <w:rsid w:val="002118EE"/>
    <w:rsid w:val="00211B16"/>
    <w:rsid w:val="00211F6D"/>
    <w:rsid w:val="00212237"/>
    <w:rsid w:val="0021245A"/>
    <w:rsid w:val="00212E9A"/>
    <w:rsid w:val="0021386F"/>
    <w:rsid w:val="0021399C"/>
    <w:rsid w:val="00213F49"/>
    <w:rsid w:val="002140B8"/>
    <w:rsid w:val="00214318"/>
    <w:rsid w:val="002144B4"/>
    <w:rsid w:val="00214A5C"/>
    <w:rsid w:val="00214B7E"/>
    <w:rsid w:val="00214C12"/>
    <w:rsid w:val="00214C92"/>
    <w:rsid w:val="002151B8"/>
    <w:rsid w:val="0021588B"/>
    <w:rsid w:val="002159F6"/>
    <w:rsid w:val="00216649"/>
    <w:rsid w:val="002167DF"/>
    <w:rsid w:val="00216B15"/>
    <w:rsid w:val="00216E29"/>
    <w:rsid w:val="00217A36"/>
    <w:rsid w:val="00217A84"/>
    <w:rsid w:val="00217B7F"/>
    <w:rsid w:val="00217C22"/>
    <w:rsid w:val="00217DFC"/>
    <w:rsid w:val="0022016D"/>
    <w:rsid w:val="0022039E"/>
    <w:rsid w:val="00220F79"/>
    <w:rsid w:val="00220F81"/>
    <w:rsid w:val="002217D3"/>
    <w:rsid w:val="00221837"/>
    <w:rsid w:val="00221884"/>
    <w:rsid w:val="00221ACC"/>
    <w:rsid w:val="00222123"/>
    <w:rsid w:val="0022257B"/>
    <w:rsid w:val="0022264F"/>
    <w:rsid w:val="00222BA1"/>
    <w:rsid w:val="00222D16"/>
    <w:rsid w:val="00223526"/>
    <w:rsid w:val="00223D10"/>
    <w:rsid w:val="002241BE"/>
    <w:rsid w:val="0022463A"/>
    <w:rsid w:val="00224CF2"/>
    <w:rsid w:val="002250DD"/>
    <w:rsid w:val="002251A0"/>
    <w:rsid w:val="002253F6"/>
    <w:rsid w:val="0022546D"/>
    <w:rsid w:val="00225CAA"/>
    <w:rsid w:val="00225DB9"/>
    <w:rsid w:val="00225DEB"/>
    <w:rsid w:val="00225F1B"/>
    <w:rsid w:val="002261D2"/>
    <w:rsid w:val="0022620E"/>
    <w:rsid w:val="002269E1"/>
    <w:rsid w:val="00226CF9"/>
    <w:rsid w:val="00226D42"/>
    <w:rsid w:val="00227D2D"/>
    <w:rsid w:val="00230084"/>
    <w:rsid w:val="0023048C"/>
    <w:rsid w:val="00230534"/>
    <w:rsid w:val="0023071E"/>
    <w:rsid w:val="0023099A"/>
    <w:rsid w:val="00230C29"/>
    <w:rsid w:val="00230EFD"/>
    <w:rsid w:val="002310F1"/>
    <w:rsid w:val="00231103"/>
    <w:rsid w:val="00231598"/>
    <w:rsid w:val="0023175F"/>
    <w:rsid w:val="0023193A"/>
    <w:rsid w:val="00232009"/>
    <w:rsid w:val="0023226E"/>
    <w:rsid w:val="00232567"/>
    <w:rsid w:val="0023271A"/>
    <w:rsid w:val="002328E3"/>
    <w:rsid w:val="00232955"/>
    <w:rsid w:val="00232BC7"/>
    <w:rsid w:val="00232D59"/>
    <w:rsid w:val="00232DFE"/>
    <w:rsid w:val="00233435"/>
    <w:rsid w:val="002335D0"/>
    <w:rsid w:val="00233AB9"/>
    <w:rsid w:val="00234069"/>
    <w:rsid w:val="002340CC"/>
    <w:rsid w:val="002343F7"/>
    <w:rsid w:val="00234520"/>
    <w:rsid w:val="00234C13"/>
    <w:rsid w:val="00234FC1"/>
    <w:rsid w:val="00234FEE"/>
    <w:rsid w:val="002353C3"/>
    <w:rsid w:val="002359A1"/>
    <w:rsid w:val="00235D14"/>
    <w:rsid w:val="00235E0B"/>
    <w:rsid w:val="00235E9B"/>
    <w:rsid w:val="0023618D"/>
    <w:rsid w:val="00236A86"/>
    <w:rsid w:val="00236B53"/>
    <w:rsid w:val="002374F6"/>
    <w:rsid w:val="00237731"/>
    <w:rsid w:val="00237780"/>
    <w:rsid w:val="00237BC9"/>
    <w:rsid w:val="00237DFA"/>
    <w:rsid w:val="00237E42"/>
    <w:rsid w:val="002402ED"/>
    <w:rsid w:val="00240537"/>
    <w:rsid w:val="00240886"/>
    <w:rsid w:val="00240CC4"/>
    <w:rsid w:val="00240F78"/>
    <w:rsid w:val="002412C7"/>
    <w:rsid w:val="00241841"/>
    <w:rsid w:val="00241B3D"/>
    <w:rsid w:val="0024205F"/>
    <w:rsid w:val="00242431"/>
    <w:rsid w:val="00242790"/>
    <w:rsid w:val="00242871"/>
    <w:rsid w:val="00242BE3"/>
    <w:rsid w:val="00242EE6"/>
    <w:rsid w:val="00243216"/>
    <w:rsid w:val="0024333A"/>
    <w:rsid w:val="00243B4D"/>
    <w:rsid w:val="00243F6C"/>
    <w:rsid w:val="00243F90"/>
    <w:rsid w:val="0024448C"/>
    <w:rsid w:val="0024488A"/>
    <w:rsid w:val="002448C6"/>
    <w:rsid w:val="00245CDA"/>
    <w:rsid w:val="00245F28"/>
    <w:rsid w:val="00246090"/>
    <w:rsid w:val="0024624D"/>
    <w:rsid w:val="002465E5"/>
    <w:rsid w:val="00246720"/>
    <w:rsid w:val="00246898"/>
    <w:rsid w:val="00246FAA"/>
    <w:rsid w:val="0024718A"/>
    <w:rsid w:val="002472CD"/>
    <w:rsid w:val="0024750F"/>
    <w:rsid w:val="00247AB6"/>
    <w:rsid w:val="00247AD9"/>
    <w:rsid w:val="00247DD0"/>
    <w:rsid w:val="00247DE6"/>
    <w:rsid w:val="0025004C"/>
    <w:rsid w:val="00250287"/>
    <w:rsid w:val="00250615"/>
    <w:rsid w:val="0025089D"/>
    <w:rsid w:val="002512D1"/>
    <w:rsid w:val="00251948"/>
    <w:rsid w:val="00251C60"/>
    <w:rsid w:val="00251C7C"/>
    <w:rsid w:val="00251EB6"/>
    <w:rsid w:val="0025213D"/>
    <w:rsid w:val="00252140"/>
    <w:rsid w:val="002523D5"/>
    <w:rsid w:val="00252441"/>
    <w:rsid w:val="00252723"/>
    <w:rsid w:val="00252D40"/>
    <w:rsid w:val="002530B6"/>
    <w:rsid w:val="0025328F"/>
    <w:rsid w:val="00253674"/>
    <w:rsid w:val="002536FE"/>
    <w:rsid w:val="002537A9"/>
    <w:rsid w:val="00253CF5"/>
    <w:rsid w:val="0025404E"/>
    <w:rsid w:val="00254406"/>
    <w:rsid w:val="002544AE"/>
    <w:rsid w:val="00254680"/>
    <w:rsid w:val="00254718"/>
    <w:rsid w:val="002547E7"/>
    <w:rsid w:val="00254851"/>
    <w:rsid w:val="0025487E"/>
    <w:rsid w:val="00254B96"/>
    <w:rsid w:val="00254D3A"/>
    <w:rsid w:val="00255102"/>
    <w:rsid w:val="0025557C"/>
    <w:rsid w:val="0025586C"/>
    <w:rsid w:val="00255A16"/>
    <w:rsid w:val="00255E96"/>
    <w:rsid w:val="00256634"/>
    <w:rsid w:val="002567E5"/>
    <w:rsid w:val="00256A11"/>
    <w:rsid w:val="00256CAB"/>
    <w:rsid w:val="00256F93"/>
    <w:rsid w:val="00257952"/>
    <w:rsid w:val="00257AE6"/>
    <w:rsid w:val="00257C8A"/>
    <w:rsid w:val="00257CA2"/>
    <w:rsid w:val="00257E65"/>
    <w:rsid w:val="00257F11"/>
    <w:rsid w:val="00257FDF"/>
    <w:rsid w:val="002603EF"/>
    <w:rsid w:val="002604E1"/>
    <w:rsid w:val="002609C3"/>
    <w:rsid w:val="00260DCE"/>
    <w:rsid w:val="0026182F"/>
    <w:rsid w:val="00261A63"/>
    <w:rsid w:val="00261CBA"/>
    <w:rsid w:val="0026260B"/>
    <w:rsid w:val="00262643"/>
    <w:rsid w:val="00262797"/>
    <w:rsid w:val="00262825"/>
    <w:rsid w:val="00262899"/>
    <w:rsid w:val="0026292C"/>
    <w:rsid w:val="002629F1"/>
    <w:rsid w:val="00262A5C"/>
    <w:rsid w:val="00262A92"/>
    <w:rsid w:val="00263174"/>
    <w:rsid w:val="00263255"/>
    <w:rsid w:val="002634C8"/>
    <w:rsid w:val="0026357C"/>
    <w:rsid w:val="0026383B"/>
    <w:rsid w:val="002638C2"/>
    <w:rsid w:val="00263C32"/>
    <w:rsid w:val="002644CA"/>
    <w:rsid w:val="0026461C"/>
    <w:rsid w:val="00264AD3"/>
    <w:rsid w:val="00264E8C"/>
    <w:rsid w:val="00265976"/>
    <w:rsid w:val="002662DE"/>
    <w:rsid w:val="00266A23"/>
    <w:rsid w:val="00266EB2"/>
    <w:rsid w:val="00266F92"/>
    <w:rsid w:val="0026709C"/>
    <w:rsid w:val="002671C7"/>
    <w:rsid w:val="002677EF"/>
    <w:rsid w:val="00267D27"/>
    <w:rsid w:val="002702E8"/>
    <w:rsid w:val="00270B8F"/>
    <w:rsid w:val="00271A46"/>
    <w:rsid w:val="00271D51"/>
    <w:rsid w:val="00271F20"/>
    <w:rsid w:val="00271F57"/>
    <w:rsid w:val="00271FE2"/>
    <w:rsid w:val="002725E7"/>
    <w:rsid w:val="00272AD7"/>
    <w:rsid w:val="00272B9C"/>
    <w:rsid w:val="00272C6C"/>
    <w:rsid w:val="00272C8D"/>
    <w:rsid w:val="00272D1F"/>
    <w:rsid w:val="00273244"/>
    <w:rsid w:val="0027328A"/>
    <w:rsid w:val="00273432"/>
    <w:rsid w:val="00273720"/>
    <w:rsid w:val="0027388F"/>
    <w:rsid w:val="00273D50"/>
    <w:rsid w:val="002743AE"/>
    <w:rsid w:val="00274567"/>
    <w:rsid w:val="002749D4"/>
    <w:rsid w:val="002752B1"/>
    <w:rsid w:val="002754CF"/>
    <w:rsid w:val="00275A62"/>
    <w:rsid w:val="00275C21"/>
    <w:rsid w:val="00275C69"/>
    <w:rsid w:val="002761C6"/>
    <w:rsid w:val="0027660E"/>
    <w:rsid w:val="00276691"/>
    <w:rsid w:val="00276820"/>
    <w:rsid w:val="00276B17"/>
    <w:rsid w:val="00276E18"/>
    <w:rsid w:val="002775B0"/>
    <w:rsid w:val="00277660"/>
    <w:rsid w:val="00277926"/>
    <w:rsid w:val="00277B69"/>
    <w:rsid w:val="00277BA1"/>
    <w:rsid w:val="00277CBB"/>
    <w:rsid w:val="00277E4B"/>
    <w:rsid w:val="0028018F"/>
    <w:rsid w:val="00280BFB"/>
    <w:rsid w:val="00280F54"/>
    <w:rsid w:val="00280F9D"/>
    <w:rsid w:val="00280FB8"/>
    <w:rsid w:val="002812D3"/>
    <w:rsid w:val="002813D5"/>
    <w:rsid w:val="00282278"/>
    <w:rsid w:val="0028273C"/>
    <w:rsid w:val="00282BFD"/>
    <w:rsid w:val="00282C67"/>
    <w:rsid w:val="00282F36"/>
    <w:rsid w:val="002830F5"/>
    <w:rsid w:val="00283500"/>
    <w:rsid w:val="00283501"/>
    <w:rsid w:val="002838A0"/>
    <w:rsid w:val="00283FCA"/>
    <w:rsid w:val="002840D9"/>
    <w:rsid w:val="00284604"/>
    <w:rsid w:val="00284717"/>
    <w:rsid w:val="00284B50"/>
    <w:rsid w:val="00284D01"/>
    <w:rsid w:val="00285246"/>
    <w:rsid w:val="002854BB"/>
    <w:rsid w:val="002854C3"/>
    <w:rsid w:val="002856CA"/>
    <w:rsid w:val="00285932"/>
    <w:rsid w:val="00285A45"/>
    <w:rsid w:val="00285DF9"/>
    <w:rsid w:val="00286005"/>
    <w:rsid w:val="002863A7"/>
    <w:rsid w:val="002865C5"/>
    <w:rsid w:val="00286F5C"/>
    <w:rsid w:val="002874E0"/>
    <w:rsid w:val="00287722"/>
    <w:rsid w:val="00287742"/>
    <w:rsid w:val="002879BA"/>
    <w:rsid w:val="00287ADC"/>
    <w:rsid w:val="00287CA2"/>
    <w:rsid w:val="00290093"/>
    <w:rsid w:val="00290244"/>
    <w:rsid w:val="00290763"/>
    <w:rsid w:val="00290942"/>
    <w:rsid w:val="00290A71"/>
    <w:rsid w:val="00290C4B"/>
    <w:rsid w:val="0029124E"/>
    <w:rsid w:val="00291580"/>
    <w:rsid w:val="002918F1"/>
    <w:rsid w:val="00291E9E"/>
    <w:rsid w:val="00291F55"/>
    <w:rsid w:val="00292223"/>
    <w:rsid w:val="00292625"/>
    <w:rsid w:val="00292691"/>
    <w:rsid w:val="00293059"/>
    <w:rsid w:val="002931A4"/>
    <w:rsid w:val="0029328E"/>
    <w:rsid w:val="00293358"/>
    <w:rsid w:val="00293476"/>
    <w:rsid w:val="002934E5"/>
    <w:rsid w:val="002939DC"/>
    <w:rsid w:val="00293A0C"/>
    <w:rsid w:val="002941F9"/>
    <w:rsid w:val="002949BF"/>
    <w:rsid w:val="00294A4C"/>
    <w:rsid w:val="00294F60"/>
    <w:rsid w:val="0029543F"/>
    <w:rsid w:val="00295909"/>
    <w:rsid w:val="002959B8"/>
    <w:rsid w:val="002959F6"/>
    <w:rsid w:val="002965AA"/>
    <w:rsid w:val="00296614"/>
    <w:rsid w:val="00296B72"/>
    <w:rsid w:val="00297080"/>
    <w:rsid w:val="002970E6"/>
    <w:rsid w:val="0029735C"/>
    <w:rsid w:val="002979AE"/>
    <w:rsid w:val="00297A8B"/>
    <w:rsid w:val="002A0552"/>
    <w:rsid w:val="002A0A28"/>
    <w:rsid w:val="002A0D72"/>
    <w:rsid w:val="002A107A"/>
    <w:rsid w:val="002A119C"/>
    <w:rsid w:val="002A1FDC"/>
    <w:rsid w:val="002A297F"/>
    <w:rsid w:val="002A2D82"/>
    <w:rsid w:val="002A30E0"/>
    <w:rsid w:val="002A320E"/>
    <w:rsid w:val="002A3E21"/>
    <w:rsid w:val="002A40FD"/>
    <w:rsid w:val="002A437A"/>
    <w:rsid w:val="002A476F"/>
    <w:rsid w:val="002A4B41"/>
    <w:rsid w:val="002A4F04"/>
    <w:rsid w:val="002A502A"/>
    <w:rsid w:val="002A50E0"/>
    <w:rsid w:val="002A5125"/>
    <w:rsid w:val="002A57C2"/>
    <w:rsid w:val="002A59A0"/>
    <w:rsid w:val="002A5A35"/>
    <w:rsid w:val="002A5F52"/>
    <w:rsid w:val="002A6081"/>
    <w:rsid w:val="002A652B"/>
    <w:rsid w:val="002A6827"/>
    <w:rsid w:val="002A6A33"/>
    <w:rsid w:val="002A6E01"/>
    <w:rsid w:val="002A6E23"/>
    <w:rsid w:val="002A6E88"/>
    <w:rsid w:val="002A6EA7"/>
    <w:rsid w:val="002A71A0"/>
    <w:rsid w:val="002A7249"/>
    <w:rsid w:val="002A73D9"/>
    <w:rsid w:val="002A747A"/>
    <w:rsid w:val="002A753E"/>
    <w:rsid w:val="002A7638"/>
    <w:rsid w:val="002A78B1"/>
    <w:rsid w:val="002A7982"/>
    <w:rsid w:val="002B0DDF"/>
    <w:rsid w:val="002B0F60"/>
    <w:rsid w:val="002B11CD"/>
    <w:rsid w:val="002B12C1"/>
    <w:rsid w:val="002B1594"/>
    <w:rsid w:val="002B1599"/>
    <w:rsid w:val="002B1BDC"/>
    <w:rsid w:val="002B1E60"/>
    <w:rsid w:val="002B1FF5"/>
    <w:rsid w:val="002B202D"/>
    <w:rsid w:val="002B207B"/>
    <w:rsid w:val="002B2489"/>
    <w:rsid w:val="002B272C"/>
    <w:rsid w:val="002B2A2D"/>
    <w:rsid w:val="002B2B05"/>
    <w:rsid w:val="002B2F74"/>
    <w:rsid w:val="002B2F9F"/>
    <w:rsid w:val="002B3801"/>
    <w:rsid w:val="002B3A73"/>
    <w:rsid w:val="002B3C0B"/>
    <w:rsid w:val="002B4009"/>
    <w:rsid w:val="002B40F2"/>
    <w:rsid w:val="002B41FE"/>
    <w:rsid w:val="002B4305"/>
    <w:rsid w:val="002B4651"/>
    <w:rsid w:val="002B49A5"/>
    <w:rsid w:val="002B49F0"/>
    <w:rsid w:val="002B4A60"/>
    <w:rsid w:val="002B4EBC"/>
    <w:rsid w:val="002B4F6A"/>
    <w:rsid w:val="002B5031"/>
    <w:rsid w:val="002B5480"/>
    <w:rsid w:val="002B559D"/>
    <w:rsid w:val="002B55EC"/>
    <w:rsid w:val="002B59E0"/>
    <w:rsid w:val="002B5A36"/>
    <w:rsid w:val="002B5B98"/>
    <w:rsid w:val="002B5EA7"/>
    <w:rsid w:val="002B5F8E"/>
    <w:rsid w:val="002B6160"/>
    <w:rsid w:val="002B6E3C"/>
    <w:rsid w:val="002B7164"/>
    <w:rsid w:val="002B7435"/>
    <w:rsid w:val="002B758B"/>
    <w:rsid w:val="002B77FA"/>
    <w:rsid w:val="002B78F4"/>
    <w:rsid w:val="002C00D8"/>
    <w:rsid w:val="002C0D5B"/>
    <w:rsid w:val="002C0E1F"/>
    <w:rsid w:val="002C0ECF"/>
    <w:rsid w:val="002C0F3D"/>
    <w:rsid w:val="002C14E7"/>
    <w:rsid w:val="002C1B49"/>
    <w:rsid w:val="002C1CF6"/>
    <w:rsid w:val="002C20FD"/>
    <w:rsid w:val="002C2B1E"/>
    <w:rsid w:val="002C2B48"/>
    <w:rsid w:val="002C2BB9"/>
    <w:rsid w:val="002C3022"/>
    <w:rsid w:val="002C352E"/>
    <w:rsid w:val="002C37E7"/>
    <w:rsid w:val="002C3FBB"/>
    <w:rsid w:val="002C4A6D"/>
    <w:rsid w:val="002C4D2F"/>
    <w:rsid w:val="002C4DA6"/>
    <w:rsid w:val="002C552B"/>
    <w:rsid w:val="002C56FB"/>
    <w:rsid w:val="002C5887"/>
    <w:rsid w:val="002C58DC"/>
    <w:rsid w:val="002C599A"/>
    <w:rsid w:val="002C5B4D"/>
    <w:rsid w:val="002C6222"/>
    <w:rsid w:val="002C637A"/>
    <w:rsid w:val="002C666A"/>
    <w:rsid w:val="002C6735"/>
    <w:rsid w:val="002C6AB3"/>
    <w:rsid w:val="002C6FB4"/>
    <w:rsid w:val="002C7294"/>
    <w:rsid w:val="002C74F1"/>
    <w:rsid w:val="002C7934"/>
    <w:rsid w:val="002C7CB2"/>
    <w:rsid w:val="002D0091"/>
    <w:rsid w:val="002D0557"/>
    <w:rsid w:val="002D067B"/>
    <w:rsid w:val="002D07B5"/>
    <w:rsid w:val="002D0B51"/>
    <w:rsid w:val="002D0BC3"/>
    <w:rsid w:val="002D0E28"/>
    <w:rsid w:val="002D1003"/>
    <w:rsid w:val="002D1362"/>
    <w:rsid w:val="002D1BB2"/>
    <w:rsid w:val="002D2125"/>
    <w:rsid w:val="002D21B8"/>
    <w:rsid w:val="002D2525"/>
    <w:rsid w:val="002D26C0"/>
    <w:rsid w:val="002D319A"/>
    <w:rsid w:val="002D359F"/>
    <w:rsid w:val="002D3A0A"/>
    <w:rsid w:val="002D4705"/>
    <w:rsid w:val="002D4785"/>
    <w:rsid w:val="002D48A3"/>
    <w:rsid w:val="002D4B9F"/>
    <w:rsid w:val="002D55F6"/>
    <w:rsid w:val="002D6041"/>
    <w:rsid w:val="002D6171"/>
    <w:rsid w:val="002D61DC"/>
    <w:rsid w:val="002D62E9"/>
    <w:rsid w:val="002D649D"/>
    <w:rsid w:val="002D6507"/>
    <w:rsid w:val="002D691A"/>
    <w:rsid w:val="002D71E7"/>
    <w:rsid w:val="002D7430"/>
    <w:rsid w:val="002D770B"/>
    <w:rsid w:val="002D7E30"/>
    <w:rsid w:val="002D7E89"/>
    <w:rsid w:val="002E03C1"/>
    <w:rsid w:val="002E05B0"/>
    <w:rsid w:val="002E08D0"/>
    <w:rsid w:val="002E0D47"/>
    <w:rsid w:val="002E0E01"/>
    <w:rsid w:val="002E1002"/>
    <w:rsid w:val="002E157A"/>
    <w:rsid w:val="002E2036"/>
    <w:rsid w:val="002E2086"/>
    <w:rsid w:val="002E21A5"/>
    <w:rsid w:val="002E2299"/>
    <w:rsid w:val="002E2735"/>
    <w:rsid w:val="002E28B4"/>
    <w:rsid w:val="002E2EE6"/>
    <w:rsid w:val="002E3030"/>
    <w:rsid w:val="002E3156"/>
    <w:rsid w:val="002E327E"/>
    <w:rsid w:val="002E3789"/>
    <w:rsid w:val="002E3919"/>
    <w:rsid w:val="002E3974"/>
    <w:rsid w:val="002E3A1B"/>
    <w:rsid w:val="002E3B99"/>
    <w:rsid w:val="002E44AB"/>
    <w:rsid w:val="002E4C04"/>
    <w:rsid w:val="002E4F92"/>
    <w:rsid w:val="002E55C0"/>
    <w:rsid w:val="002E5A69"/>
    <w:rsid w:val="002E5CD3"/>
    <w:rsid w:val="002E677F"/>
    <w:rsid w:val="002E6962"/>
    <w:rsid w:val="002E6A43"/>
    <w:rsid w:val="002E6DF3"/>
    <w:rsid w:val="002E6E24"/>
    <w:rsid w:val="002E6F02"/>
    <w:rsid w:val="002E7816"/>
    <w:rsid w:val="002E783D"/>
    <w:rsid w:val="002E7841"/>
    <w:rsid w:val="002E79EB"/>
    <w:rsid w:val="002E7A33"/>
    <w:rsid w:val="002E7A6B"/>
    <w:rsid w:val="002E7C8D"/>
    <w:rsid w:val="002E7CE2"/>
    <w:rsid w:val="002F012F"/>
    <w:rsid w:val="002F0415"/>
    <w:rsid w:val="002F0D6C"/>
    <w:rsid w:val="002F0F29"/>
    <w:rsid w:val="002F0F75"/>
    <w:rsid w:val="002F11FB"/>
    <w:rsid w:val="002F1276"/>
    <w:rsid w:val="002F1498"/>
    <w:rsid w:val="002F1592"/>
    <w:rsid w:val="002F1663"/>
    <w:rsid w:val="002F16BF"/>
    <w:rsid w:val="002F16E7"/>
    <w:rsid w:val="002F18FA"/>
    <w:rsid w:val="002F1C80"/>
    <w:rsid w:val="002F1EB4"/>
    <w:rsid w:val="002F1F54"/>
    <w:rsid w:val="002F29B9"/>
    <w:rsid w:val="002F2C05"/>
    <w:rsid w:val="002F2CE9"/>
    <w:rsid w:val="002F3063"/>
    <w:rsid w:val="002F3211"/>
    <w:rsid w:val="002F322C"/>
    <w:rsid w:val="002F3605"/>
    <w:rsid w:val="002F37B4"/>
    <w:rsid w:val="002F4343"/>
    <w:rsid w:val="002F48BD"/>
    <w:rsid w:val="002F4A0E"/>
    <w:rsid w:val="002F4BE3"/>
    <w:rsid w:val="002F4C04"/>
    <w:rsid w:val="002F5265"/>
    <w:rsid w:val="002F55A9"/>
    <w:rsid w:val="002F5716"/>
    <w:rsid w:val="002F597F"/>
    <w:rsid w:val="002F6317"/>
    <w:rsid w:val="002F6373"/>
    <w:rsid w:val="002F6530"/>
    <w:rsid w:val="002F66C8"/>
    <w:rsid w:val="002F673B"/>
    <w:rsid w:val="002F6FBC"/>
    <w:rsid w:val="002F7182"/>
    <w:rsid w:val="002F78F1"/>
    <w:rsid w:val="002F7921"/>
    <w:rsid w:val="002F7A07"/>
    <w:rsid w:val="003001E0"/>
    <w:rsid w:val="0030025B"/>
    <w:rsid w:val="003002D2"/>
    <w:rsid w:val="003003B4"/>
    <w:rsid w:val="00300A04"/>
    <w:rsid w:val="00300EDD"/>
    <w:rsid w:val="00300F0B"/>
    <w:rsid w:val="00300F16"/>
    <w:rsid w:val="0030138C"/>
    <w:rsid w:val="003015CA"/>
    <w:rsid w:val="00301CF4"/>
    <w:rsid w:val="00301F3F"/>
    <w:rsid w:val="00302094"/>
    <w:rsid w:val="003020A2"/>
    <w:rsid w:val="0030212A"/>
    <w:rsid w:val="003029BF"/>
    <w:rsid w:val="00302BC6"/>
    <w:rsid w:val="00302ED6"/>
    <w:rsid w:val="00303101"/>
    <w:rsid w:val="00303940"/>
    <w:rsid w:val="00303DA0"/>
    <w:rsid w:val="0030400D"/>
    <w:rsid w:val="00304088"/>
    <w:rsid w:val="00304091"/>
    <w:rsid w:val="00304D47"/>
    <w:rsid w:val="00304DCB"/>
    <w:rsid w:val="00304EED"/>
    <w:rsid w:val="003051D3"/>
    <w:rsid w:val="003054D6"/>
    <w:rsid w:val="00305881"/>
    <w:rsid w:val="003058A6"/>
    <w:rsid w:val="00305A23"/>
    <w:rsid w:val="00305BEF"/>
    <w:rsid w:val="00305D03"/>
    <w:rsid w:val="003061FF"/>
    <w:rsid w:val="003065EF"/>
    <w:rsid w:val="0030688F"/>
    <w:rsid w:val="00306FEC"/>
    <w:rsid w:val="0030725E"/>
    <w:rsid w:val="003075BD"/>
    <w:rsid w:val="0030788C"/>
    <w:rsid w:val="00307921"/>
    <w:rsid w:val="00307F98"/>
    <w:rsid w:val="00310928"/>
    <w:rsid w:val="00310E38"/>
    <w:rsid w:val="00310E77"/>
    <w:rsid w:val="00311058"/>
    <w:rsid w:val="003115DE"/>
    <w:rsid w:val="00311970"/>
    <w:rsid w:val="003119BA"/>
    <w:rsid w:val="00311CB6"/>
    <w:rsid w:val="00311ED0"/>
    <w:rsid w:val="003121EE"/>
    <w:rsid w:val="00312355"/>
    <w:rsid w:val="00312377"/>
    <w:rsid w:val="003128B0"/>
    <w:rsid w:val="00312962"/>
    <w:rsid w:val="00312A10"/>
    <w:rsid w:val="00312E38"/>
    <w:rsid w:val="003130A1"/>
    <w:rsid w:val="0031389C"/>
    <w:rsid w:val="003139D3"/>
    <w:rsid w:val="00313E5B"/>
    <w:rsid w:val="00313FFC"/>
    <w:rsid w:val="0031491F"/>
    <w:rsid w:val="00314A27"/>
    <w:rsid w:val="003154DF"/>
    <w:rsid w:val="003157DE"/>
    <w:rsid w:val="003158C2"/>
    <w:rsid w:val="00315C76"/>
    <w:rsid w:val="00315EE0"/>
    <w:rsid w:val="0031612C"/>
    <w:rsid w:val="003163BE"/>
    <w:rsid w:val="003165E0"/>
    <w:rsid w:val="003169BD"/>
    <w:rsid w:val="00317224"/>
    <w:rsid w:val="00317B74"/>
    <w:rsid w:val="00317D18"/>
    <w:rsid w:val="00317F5C"/>
    <w:rsid w:val="0032012F"/>
    <w:rsid w:val="003202CF"/>
    <w:rsid w:val="003204DE"/>
    <w:rsid w:val="0032057D"/>
    <w:rsid w:val="003207C5"/>
    <w:rsid w:val="00320D1C"/>
    <w:rsid w:val="003217C9"/>
    <w:rsid w:val="00321A5F"/>
    <w:rsid w:val="00321B4A"/>
    <w:rsid w:val="0032205E"/>
    <w:rsid w:val="003224AB"/>
    <w:rsid w:val="00322810"/>
    <w:rsid w:val="003232EF"/>
    <w:rsid w:val="0032348F"/>
    <w:rsid w:val="003235B7"/>
    <w:rsid w:val="0032374B"/>
    <w:rsid w:val="00323953"/>
    <w:rsid w:val="00323C19"/>
    <w:rsid w:val="00323C9D"/>
    <w:rsid w:val="0032428A"/>
    <w:rsid w:val="00324998"/>
    <w:rsid w:val="00324A16"/>
    <w:rsid w:val="00324DA9"/>
    <w:rsid w:val="00324E00"/>
    <w:rsid w:val="003250F5"/>
    <w:rsid w:val="0032526D"/>
    <w:rsid w:val="00325351"/>
    <w:rsid w:val="00325791"/>
    <w:rsid w:val="00325BC9"/>
    <w:rsid w:val="003262C1"/>
    <w:rsid w:val="0032637E"/>
    <w:rsid w:val="0032643D"/>
    <w:rsid w:val="003264C8"/>
    <w:rsid w:val="00326665"/>
    <w:rsid w:val="00326754"/>
    <w:rsid w:val="00326B36"/>
    <w:rsid w:val="00326B48"/>
    <w:rsid w:val="00326E1E"/>
    <w:rsid w:val="00326F2F"/>
    <w:rsid w:val="003270E2"/>
    <w:rsid w:val="00327120"/>
    <w:rsid w:val="00327132"/>
    <w:rsid w:val="003271B7"/>
    <w:rsid w:val="003275A9"/>
    <w:rsid w:val="00327742"/>
    <w:rsid w:val="00327833"/>
    <w:rsid w:val="00327B0E"/>
    <w:rsid w:val="00327B22"/>
    <w:rsid w:val="00327BCF"/>
    <w:rsid w:val="00327C69"/>
    <w:rsid w:val="00327D83"/>
    <w:rsid w:val="003300FF"/>
    <w:rsid w:val="003302CE"/>
    <w:rsid w:val="003303A6"/>
    <w:rsid w:val="0033051D"/>
    <w:rsid w:val="00330606"/>
    <w:rsid w:val="00330688"/>
    <w:rsid w:val="003309A5"/>
    <w:rsid w:val="003309DA"/>
    <w:rsid w:val="00330BBB"/>
    <w:rsid w:val="0033109E"/>
    <w:rsid w:val="00331458"/>
    <w:rsid w:val="00331663"/>
    <w:rsid w:val="0033167D"/>
    <w:rsid w:val="003316FB"/>
    <w:rsid w:val="003318E8"/>
    <w:rsid w:val="00331CD1"/>
    <w:rsid w:val="00331EE0"/>
    <w:rsid w:val="0033224F"/>
    <w:rsid w:val="00332A31"/>
    <w:rsid w:val="00332B7C"/>
    <w:rsid w:val="00332B8B"/>
    <w:rsid w:val="00332CBC"/>
    <w:rsid w:val="00332D8E"/>
    <w:rsid w:val="00332F4B"/>
    <w:rsid w:val="00333029"/>
    <w:rsid w:val="00333200"/>
    <w:rsid w:val="003333C4"/>
    <w:rsid w:val="003339F3"/>
    <w:rsid w:val="00333FE3"/>
    <w:rsid w:val="003346C0"/>
    <w:rsid w:val="00334899"/>
    <w:rsid w:val="003353EF"/>
    <w:rsid w:val="0033569D"/>
    <w:rsid w:val="003356D3"/>
    <w:rsid w:val="00335767"/>
    <w:rsid w:val="003357F8"/>
    <w:rsid w:val="00335BBD"/>
    <w:rsid w:val="00335DDC"/>
    <w:rsid w:val="003366DC"/>
    <w:rsid w:val="00336978"/>
    <w:rsid w:val="00336E9F"/>
    <w:rsid w:val="00336F11"/>
    <w:rsid w:val="003376EB"/>
    <w:rsid w:val="00337779"/>
    <w:rsid w:val="0033779B"/>
    <w:rsid w:val="00337828"/>
    <w:rsid w:val="00337EF6"/>
    <w:rsid w:val="00337FDD"/>
    <w:rsid w:val="003401FC"/>
    <w:rsid w:val="003408DC"/>
    <w:rsid w:val="00340910"/>
    <w:rsid w:val="00340B5C"/>
    <w:rsid w:val="00340F52"/>
    <w:rsid w:val="00341023"/>
    <w:rsid w:val="003410DE"/>
    <w:rsid w:val="00341540"/>
    <w:rsid w:val="00341656"/>
    <w:rsid w:val="00341698"/>
    <w:rsid w:val="003419BA"/>
    <w:rsid w:val="00342166"/>
    <w:rsid w:val="00342209"/>
    <w:rsid w:val="00342287"/>
    <w:rsid w:val="003424FD"/>
    <w:rsid w:val="00342B6C"/>
    <w:rsid w:val="00343360"/>
    <w:rsid w:val="0034374D"/>
    <w:rsid w:val="0034379B"/>
    <w:rsid w:val="003437D6"/>
    <w:rsid w:val="00343A29"/>
    <w:rsid w:val="00343D2E"/>
    <w:rsid w:val="00343D77"/>
    <w:rsid w:val="00343E51"/>
    <w:rsid w:val="003444A6"/>
    <w:rsid w:val="00344984"/>
    <w:rsid w:val="00344FB7"/>
    <w:rsid w:val="00344FFC"/>
    <w:rsid w:val="0034513B"/>
    <w:rsid w:val="003456C1"/>
    <w:rsid w:val="003458A5"/>
    <w:rsid w:val="00345907"/>
    <w:rsid w:val="0034593E"/>
    <w:rsid w:val="0034601F"/>
    <w:rsid w:val="00346516"/>
    <w:rsid w:val="00346BE7"/>
    <w:rsid w:val="0034704E"/>
    <w:rsid w:val="003472F3"/>
    <w:rsid w:val="003474BF"/>
    <w:rsid w:val="00347559"/>
    <w:rsid w:val="00347786"/>
    <w:rsid w:val="00347A06"/>
    <w:rsid w:val="00347A09"/>
    <w:rsid w:val="00347B41"/>
    <w:rsid w:val="0035003B"/>
    <w:rsid w:val="00350179"/>
    <w:rsid w:val="0035032B"/>
    <w:rsid w:val="003504EF"/>
    <w:rsid w:val="003509D5"/>
    <w:rsid w:val="00350B2B"/>
    <w:rsid w:val="003511A6"/>
    <w:rsid w:val="00351573"/>
    <w:rsid w:val="003516DA"/>
    <w:rsid w:val="0035180D"/>
    <w:rsid w:val="003520AD"/>
    <w:rsid w:val="00352179"/>
    <w:rsid w:val="003525D9"/>
    <w:rsid w:val="0035267B"/>
    <w:rsid w:val="00352788"/>
    <w:rsid w:val="00352928"/>
    <w:rsid w:val="00352B80"/>
    <w:rsid w:val="00352C56"/>
    <w:rsid w:val="00352EC9"/>
    <w:rsid w:val="00352EDE"/>
    <w:rsid w:val="00353601"/>
    <w:rsid w:val="00353756"/>
    <w:rsid w:val="00353768"/>
    <w:rsid w:val="003537BF"/>
    <w:rsid w:val="00353B69"/>
    <w:rsid w:val="00353DD4"/>
    <w:rsid w:val="0035441A"/>
    <w:rsid w:val="0035465C"/>
    <w:rsid w:val="00354C1B"/>
    <w:rsid w:val="00354DB1"/>
    <w:rsid w:val="00354E0D"/>
    <w:rsid w:val="003550A9"/>
    <w:rsid w:val="003551C4"/>
    <w:rsid w:val="00355556"/>
    <w:rsid w:val="003557C3"/>
    <w:rsid w:val="003557E4"/>
    <w:rsid w:val="003557FC"/>
    <w:rsid w:val="00356824"/>
    <w:rsid w:val="00356C77"/>
    <w:rsid w:val="00356E03"/>
    <w:rsid w:val="0035717F"/>
    <w:rsid w:val="003577B9"/>
    <w:rsid w:val="00357987"/>
    <w:rsid w:val="00357CB5"/>
    <w:rsid w:val="0036004C"/>
    <w:rsid w:val="0036019D"/>
    <w:rsid w:val="00360341"/>
    <w:rsid w:val="0036083E"/>
    <w:rsid w:val="00360905"/>
    <w:rsid w:val="00360A81"/>
    <w:rsid w:val="00360CF2"/>
    <w:rsid w:val="00360F85"/>
    <w:rsid w:val="00360FAA"/>
    <w:rsid w:val="0036134F"/>
    <w:rsid w:val="0036137C"/>
    <w:rsid w:val="0036138C"/>
    <w:rsid w:val="003619FC"/>
    <w:rsid w:val="00361C7C"/>
    <w:rsid w:val="00361E58"/>
    <w:rsid w:val="00361FF7"/>
    <w:rsid w:val="003620E6"/>
    <w:rsid w:val="0036244B"/>
    <w:rsid w:val="00362DCE"/>
    <w:rsid w:val="003632EA"/>
    <w:rsid w:val="0036353B"/>
    <w:rsid w:val="003636E1"/>
    <w:rsid w:val="00363A72"/>
    <w:rsid w:val="00363D74"/>
    <w:rsid w:val="003642A3"/>
    <w:rsid w:val="00364329"/>
    <w:rsid w:val="00364549"/>
    <w:rsid w:val="00364869"/>
    <w:rsid w:val="00364FE5"/>
    <w:rsid w:val="0036536A"/>
    <w:rsid w:val="0036538F"/>
    <w:rsid w:val="00365734"/>
    <w:rsid w:val="003657F7"/>
    <w:rsid w:val="00365972"/>
    <w:rsid w:val="00365C29"/>
    <w:rsid w:val="00366084"/>
    <w:rsid w:val="00366309"/>
    <w:rsid w:val="0036642A"/>
    <w:rsid w:val="003665C8"/>
    <w:rsid w:val="00366A94"/>
    <w:rsid w:val="00366C10"/>
    <w:rsid w:val="00367144"/>
    <w:rsid w:val="003676AA"/>
    <w:rsid w:val="00367C19"/>
    <w:rsid w:val="0037000D"/>
    <w:rsid w:val="0037005E"/>
    <w:rsid w:val="00370338"/>
    <w:rsid w:val="00370494"/>
    <w:rsid w:val="003705D5"/>
    <w:rsid w:val="00370626"/>
    <w:rsid w:val="00370804"/>
    <w:rsid w:val="00370940"/>
    <w:rsid w:val="00370C29"/>
    <w:rsid w:val="00370D88"/>
    <w:rsid w:val="00370F07"/>
    <w:rsid w:val="00370F08"/>
    <w:rsid w:val="003712A1"/>
    <w:rsid w:val="003713D5"/>
    <w:rsid w:val="00371676"/>
    <w:rsid w:val="00371876"/>
    <w:rsid w:val="00371A97"/>
    <w:rsid w:val="00371C4D"/>
    <w:rsid w:val="003723B4"/>
    <w:rsid w:val="0037287D"/>
    <w:rsid w:val="00372CDA"/>
    <w:rsid w:val="00372EA6"/>
    <w:rsid w:val="00372F3E"/>
    <w:rsid w:val="00373156"/>
    <w:rsid w:val="00373229"/>
    <w:rsid w:val="003734B6"/>
    <w:rsid w:val="0037370B"/>
    <w:rsid w:val="00373ACF"/>
    <w:rsid w:val="00373EA7"/>
    <w:rsid w:val="003742E9"/>
    <w:rsid w:val="003746FD"/>
    <w:rsid w:val="00374BBE"/>
    <w:rsid w:val="00374ED5"/>
    <w:rsid w:val="00374F39"/>
    <w:rsid w:val="0037507E"/>
    <w:rsid w:val="00375514"/>
    <w:rsid w:val="00375D1E"/>
    <w:rsid w:val="00375D2E"/>
    <w:rsid w:val="0037601F"/>
    <w:rsid w:val="003763BE"/>
    <w:rsid w:val="00376442"/>
    <w:rsid w:val="003764A0"/>
    <w:rsid w:val="0037664D"/>
    <w:rsid w:val="00376B01"/>
    <w:rsid w:val="00376D94"/>
    <w:rsid w:val="003772AD"/>
    <w:rsid w:val="0037777E"/>
    <w:rsid w:val="00377B79"/>
    <w:rsid w:val="00377CA6"/>
    <w:rsid w:val="00377DC5"/>
    <w:rsid w:val="0038019C"/>
    <w:rsid w:val="00380A0C"/>
    <w:rsid w:val="00380F8C"/>
    <w:rsid w:val="00381614"/>
    <w:rsid w:val="00381D7A"/>
    <w:rsid w:val="003824D0"/>
    <w:rsid w:val="003826E5"/>
    <w:rsid w:val="00382801"/>
    <w:rsid w:val="00382A22"/>
    <w:rsid w:val="00382B0F"/>
    <w:rsid w:val="00382FBF"/>
    <w:rsid w:val="003835E5"/>
    <w:rsid w:val="003837D0"/>
    <w:rsid w:val="00383CAF"/>
    <w:rsid w:val="00383E9B"/>
    <w:rsid w:val="00384128"/>
    <w:rsid w:val="003841E9"/>
    <w:rsid w:val="00384A9A"/>
    <w:rsid w:val="00385095"/>
    <w:rsid w:val="0038584D"/>
    <w:rsid w:val="00385991"/>
    <w:rsid w:val="003860CA"/>
    <w:rsid w:val="00386114"/>
    <w:rsid w:val="00386488"/>
    <w:rsid w:val="003865CC"/>
    <w:rsid w:val="003873B7"/>
    <w:rsid w:val="003877E3"/>
    <w:rsid w:val="00387D8F"/>
    <w:rsid w:val="00387DA3"/>
    <w:rsid w:val="00387DB8"/>
    <w:rsid w:val="00387E5D"/>
    <w:rsid w:val="00387F2C"/>
    <w:rsid w:val="00387FE7"/>
    <w:rsid w:val="003908E2"/>
    <w:rsid w:val="00390920"/>
    <w:rsid w:val="00390A9E"/>
    <w:rsid w:val="00390B83"/>
    <w:rsid w:val="00390D90"/>
    <w:rsid w:val="00390F53"/>
    <w:rsid w:val="00390F89"/>
    <w:rsid w:val="003913BF"/>
    <w:rsid w:val="003913FA"/>
    <w:rsid w:val="003915DA"/>
    <w:rsid w:val="0039190C"/>
    <w:rsid w:val="003921D9"/>
    <w:rsid w:val="00392218"/>
    <w:rsid w:val="00392CD7"/>
    <w:rsid w:val="003930E6"/>
    <w:rsid w:val="00393224"/>
    <w:rsid w:val="003937A6"/>
    <w:rsid w:val="00393815"/>
    <w:rsid w:val="003942C8"/>
    <w:rsid w:val="003943A8"/>
    <w:rsid w:val="003943BA"/>
    <w:rsid w:val="00394B20"/>
    <w:rsid w:val="00394C08"/>
    <w:rsid w:val="003950DA"/>
    <w:rsid w:val="003950DB"/>
    <w:rsid w:val="003955A2"/>
    <w:rsid w:val="00395763"/>
    <w:rsid w:val="003959C7"/>
    <w:rsid w:val="00395F79"/>
    <w:rsid w:val="003961C2"/>
    <w:rsid w:val="00396628"/>
    <w:rsid w:val="003969E6"/>
    <w:rsid w:val="00396BF5"/>
    <w:rsid w:val="00396C90"/>
    <w:rsid w:val="00397036"/>
    <w:rsid w:val="0039713B"/>
    <w:rsid w:val="00397475"/>
    <w:rsid w:val="0039753A"/>
    <w:rsid w:val="00397F61"/>
    <w:rsid w:val="003A0C0E"/>
    <w:rsid w:val="003A0DC0"/>
    <w:rsid w:val="003A1174"/>
    <w:rsid w:val="003A1386"/>
    <w:rsid w:val="003A1897"/>
    <w:rsid w:val="003A18D5"/>
    <w:rsid w:val="003A1936"/>
    <w:rsid w:val="003A1974"/>
    <w:rsid w:val="003A1AAA"/>
    <w:rsid w:val="003A1CBF"/>
    <w:rsid w:val="003A1DC8"/>
    <w:rsid w:val="003A2496"/>
    <w:rsid w:val="003A27D0"/>
    <w:rsid w:val="003A2A81"/>
    <w:rsid w:val="003A2AA1"/>
    <w:rsid w:val="003A2B9F"/>
    <w:rsid w:val="003A2EAB"/>
    <w:rsid w:val="003A308D"/>
    <w:rsid w:val="003A332A"/>
    <w:rsid w:val="003A3706"/>
    <w:rsid w:val="003A3899"/>
    <w:rsid w:val="003A395E"/>
    <w:rsid w:val="003A3FC1"/>
    <w:rsid w:val="003A41DD"/>
    <w:rsid w:val="003A4237"/>
    <w:rsid w:val="003A4426"/>
    <w:rsid w:val="003A4624"/>
    <w:rsid w:val="003A4903"/>
    <w:rsid w:val="003A499D"/>
    <w:rsid w:val="003A4ACA"/>
    <w:rsid w:val="003A4D91"/>
    <w:rsid w:val="003A4E68"/>
    <w:rsid w:val="003A529A"/>
    <w:rsid w:val="003A5308"/>
    <w:rsid w:val="003A5670"/>
    <w:rsid w:val="003A5B84"/>
    <w:rsid w:val="003A5E1D"/>
    <w:rsid w:val="003A5F5D"/>
    <w:rsid w:val="003A5FCC"/>
    <w:rsid w:val="003A5FE9"/>
    <w:rsid w:val="003A60C7"/>
    <w:rsid w:val="003A6756"/>
    <w:rsid w:val="003A7009"/>
    <w:rsid w:val="003A701B"/>
    <w:rsid w:val="003A701C"/>
    <w:rsid w:val="003A7153"/>
    <w:rsid w:val="003A73F1"/>
    <w:rsid w:val="003A7419"/>
    <w:rsid w:val="003A75E2"/>
    <w:rsid w:val="003A7734"/>
    <w:rsid w:val="003A77B6"/>
    <w:rsid w:val="003A7889"/>
    <w:rsid w:val="003A7D16"/>
    <w:rsid w:val="003A7ECD"/>
    <w:rsid w:val="003B015D"/>
    <w:rsid w:val="003B04E0"/>
    <w:rsid w:val="003B0514"/>
    <w:rsid w:val="003B06A2"/>
    <w:rsid w:val="003B06EB"/>
    <w:rsid w:val="003B0BD9"/>
    <w:rsid w:val="003B0F8C"/>
    <w:rsid w:val="003B113F"/>
    <w:rsid w:val="003B1839"/>
    <w:rsid w:val="003B195B"/>
    <w:rsid w:val="003B1DA7"/>
    <w:rsid w:val="003B2385"/>
    <w:rsid w:val="003B238C"/>
    <w:rsid w:val="003B261B"/>
    <w:rsid w:val="003B2A14"/>
    <w:rsid w:val="003B2D4E"/>
    <w:rsid w:val="003B3464"/>
    <w:rsid w:val="003B36F4"/>
    <w:rsid w:val="003B3870"/>
    <w:rsid w:val="003B38B9"/>
    <w:rsid w:val="003B38BD"/>
    <w:rsid w:val="003B3939"/>
    <w:rsid w:val="003B4269"/>
    <w:rsid w:val="003B435A"/>
    <w:rsid w:val="003B44EF"/>
    <w:rsid w:val="003B45C2"/>
    <w:rsid w:val="003B4612"/>
    <w:rsid w:val="003B4780"/>
    <w:rsid w:val="003B49D6"/>
    <w:rsid w:val="003B4BE9"/>
    <w:rsid w:val="003B4C39"/>
    <w:rsid w:val="003B4C45"/>
    <w:rsid w:val="003B4C55"/>
    <w:rsid w:val="003B5095"/>
    <w:rsid w:val="003B51A3"/>
    <w:rsid w:val="003B564D"/>
    <w:rsid w:val="003B57A8"/>
    <w:rsid w:val="003B58A6"/>
    <w:rsid w:val="003B5AF7"/>
    <w:rsid w:val="003B6BF3"/>
    <w:rsid w:val="003B6ECA"/>
    <w:rsid w:val="003B7243"/>
    <w:rsid w:val="003B740A"/>
    <w:rsid w:val="003B791E"/>
    <w:rsid w:val="003B7A38"/>
    <w:rsid w:val="003B7AE9"/>
    <w:rsid w:val="003B7CA2"/>
    <w:rsid w:val="003B7D7D"/>
    <w:rsid w:val="003C00B9"/>
    <w:rsid w:val="003C03E4"/>
    <w:rsid w:val="003C0595"/>
    <w:rsid w:val="003C09A4"/>
    <w:rsid w:val="003C0F15"/>
    <w:rsid w:val="003C0F5E"/>
    <w:rsid w:val="003C1017"/>
    <w:rsid w:val="003C1245"/>
    <w:rsid w:val="003C14B0"/>
    <w:rsid w:val="003C17FB"/>
    <w:rsid w:val="003C2018"/>
    <w:rsid w:val="003C2041"/>
    <w:rsid w:val="003C2212"/>
    <w:rsid w:val="003C2820"/>
    <w:rsid w:val="003C2B90"/>
    <w:rsid w:val="003C2E84"/>
    <w:rsid w:val="003C3444"/>
    <w:rsid w:val="003C3D8F"/>
    <w:rsid w:val="003C3FEC"/>
    <w:rsid w:val="003C4425"/>
    <w:rsid w:val="003C4EB7"/>
    <w:rsid w:val="003C50D2"/>
    <w:rsid w:val="003C5638"/>
    <w:rsid w:val="003C58E5"/>
    <w:rsid w:val="003C5961"/>
    <w:rsid w:val="003C59ED"/>
    <w:rsid w:val="003C5B77"/>
    <w:rsid w:val="003C632D"/>
    <w:rsid w:val="003C6588"/>
    <w:rsid w:val="003C671D"/>
    <w:rsid w:val="003C67F1"/>
    <w:rsid w:val="003C73C0"/>
    <w:rsid w:val="003C7F73"/>
    <w:rsid w:val="003C7FDF"/>
    <w:rsid w:val="003D00D0"/>
    <w:rsid w:val="003D06CF"/>
    <w:rsid w:val="003D0AC0"/>
    <w:rsid w:val="003D0B35"/>
    <w:rsid w:val="003D0E24"/>
    <w:rsid w:val="003D0F7A"/>
    <w:rsid w:val="003D1295"/>
    <w:rsid w:val="003D12E7"/>
    <w:rsid w:val="003D1341"/>
    <w:rsid w:val="003D1ACB"/>
    <w:rsid w:val="003D1B58"/>
    <w:rsid w:val="003D1C4D"/>
    <w:rsid w:val="003D1CE6"/>
    <w:rsid w:val="003D1F8B"/>
    <w:rsid w:val="003D1FF8"/>
    <w:rsid w:val="003D20A0"/>
    <w:rsid w:val="003D22E6"/>
    <w:rsid w:val="003D231A"/>
    <w:rsid w:val="003D28F6"/>
    <w:rsid w:val="003D2BFD"/>
    <w:rsid w:val="003D2D00"/>
    <w:rsid w:val="003D2DF1"/>
    <w:rsid w:val="003D372B"/>
    <w:rsid w:val="003D3D68"/>
    <w:rsid w:val="003D464C"/>
    <w:rsid w:val="003D4790"/>
    <w:rsid w:val="003D4815"/>
    <w:rsid w:val="003D4848"/>
    <w:rsid w:val="003D4F41"/>
    <w:rsid w:val="003D58E4"/>
    <w:rsid w:val="003D59AA"/>
    <w:rsid w:val="003D5AFB"/>
    <w:rsid w:val="003D5D5F"/>
    <w:rsid w:val="003D644E"/>
    <w:rsid w:val="003D68AB"/>
    <w:rsid w:val="003D6B96"/>
    <w:rsid w:val="003D6E2B"/>
    <w:rsid w:val="003D6FAD"/>
    <w:rsid w:val="003D7021"/>
    <w:rsid w:val="003D736A"/>
    <w:rsid w:val="003D74B1"/>
    <w:rsid w:val="003D78FD"/>
    <w:rsid w:val="003D7D79"/>
    <w:rsid w:val="003E0B3E"/>
    <w:rsid w:val="003E0C11"/>
    <w:rsid w:val="003E0D73"/>
    <w:rsid w:val="003E1030"/>
    <w:rsid w:val="003E114F"/>
    <w:rsid w:val="003E11B2"/>
    <w:rsid w:val="003E1CB8"/>
    <w:rsid w:val="003E1D7F"/>
    <w:rsid w:val="003E1F5F"/>
    <w:rsid w:val="003E2614"/>
    <w:rsid w:val="003E27FC"/>
    <w:rsid w:val="003E387E"/>
    <w:rsid w:val="003E39B1"/>
    <w:rsid w:val="003E3B22"/>
    <w:rsid w:val="003E3C8E"/>
    <w:rsid w:val="003E3E3A"/>
    <w:rsid w:val="003E47F5"/>
    <w:rsid w:val="003E48AA"/>
    <w:rsid w:val="003E4AE3"/>
    <w:rsid w:val="003E50FD"/>
    <w:rsid w:val="003E52BC"/>
    <w:rsid w:val="003E5412"/>
    <w:rsid w:val="003E58DC"/>
    <w:rsid w:val="003E6015"/>
    <w:rsid w:val="003E60E9"/>
    <w:rsid w:val="003E6439"/>
    <w:rsid w:val="003E649F"/>
    <w:rsid w:val="003E6679"/>
    <w:rsid w:val="003E6819"/>
    <w:rsid w:val="003E6932"/>
    <w:rsid w:val="003E6EC0"/>
    <w:rsid w:val="003E6FE4"/>
    <w:rsid w:val="003E70D4"/>
    <w:rsid w:val="003E72C6"/>
    <w:rsid w:val="003E76C0"/>
    <w:rsid w:val="003E78FF"/>
    <w:rsid w:val="003E79F1"/>
    <w:rsid w:val="003E7AF6"/>
    <w:rsid w:val="003E7F4C"/>
    <w:rsid w:val="003F042F"/>
    <w:rsid w:val="003F0561"/>
    <w:rsid w:val="003F0659"/>
    <w:rsid w:val="003F0887"/>
    <w:rsid w:val="003F0B7A"/>
    <w:rsid w:val="003F1236"/>
    <w:rsid w:val="003F139E"/>
    <w:rsid w:val="003F18D1"/>
    <w:rsid w:val="003F1D3A"/>
    <w:rsid w:val="003F1D7B"/>
    <w:rsid w:val="003F20A1"/>
    <w:rsid w:val="003F2392"/>
    <w:rsid w:val="003F23F7"/>
    <w:rsid w:val="003F260F"/>
    <w:rsid w:val="003F2DE6"/>
    <w:rsid w:val="003F2F9A"/>
    <w:rsid w:val="003F333E"/>
    <w:rsid w:val="003F3410"/>
    <w:rsid w:val="003F3EED"/>
    <w:rsid w:val="003F4295"/>
    <w:rsid w:val="003F443B"/>
    <w:rsid w:val="003F461B"/>
    <w:rsid w:val="003F480A"/>
    <w:rsid w:val="003F4E57"/>
    <w:rsid w:val="003F4EAD"/>
    <w:rsid w:val="003F5406"/>
    <w:rsid w:val="003F54B9"/>
    <w:rsid w:val="003F59E3"/>
    <w:rsid w:val="003F5C05"/>
    <w:rsid w:val="003F63B4"/>
    <w:rsid w:val="003F63C6"/>
    <w:rsid w:val="003F6CB6"/>
    <w:rsid w:val="003F6E83"/>
    <w:rsid w:val="003F7069"/>
    <w:rsid w:val="003F70F7"/>
    <w:rsid w:val="003F732F"/>
    <w:rsid w:val="003F75E1"/>
    <w:rsid w:val="003F7862"/>
    <w:rsid w:val="003F7F57"/>
    <w:rsid w:val="00400028"/>
    <w:rsid w:val="00400B2B"/>
    <w:rsid w:val="00400F6B"/>
    <w:rsid w:val="00401274"/>
    <w:rsid w:val="004016ED"/>
    <w:rsid w:val="0040186B"/>
    <w:rsid w:val="00401928"/>
    <w:rsid w:val="00401BF4"/>
    <w:rsid w:val="0040266A"/>
    <w:rsid w:val="00402765"/>
    <w:rsid w:val="00403263"/>
    <w:rsid w:val="004032C9"/>
    <w:rsid w:val="004036D7"/>
    <w:rsid w:val="00403715"/>
    <w:rsid w:val="00403789"/>
    <w:rsid w:val="00403933"/>
    <w:rsid w:val="00403D8E"/>
    <w:rsid w:val="00403F28"/>
    <w:rsid w:val="00403FDC"/>
    <w:rsid w:val="00404163"/>
    <w:rsid w:val="00404C6B"/>
    <w:rsid w:val="00404FC1"/>
    <w:rsid w:val="00405177"/>
    <w:rsid w:val="004052AB"/>
    <w:rsid w:val="00405BAF"/>
    <w:rsid w:val="00405CA0"/>
    <w:rsid w:val="00405CBE"/>
    <w:rsid w:val="00405FFC"/>
    <w:rsid w:val="0040652E"/>
    <w:rsid w:val="00406986"/>
    <w:rsid w:val="00406F81"/>
    <w:rsid w:val="00407AFB"/>
    <w:rsid w:val="00407C43"/>
    <w:rsid w:val="00407E01"/>
    <w:rsid w:val="00407EF5"/>
    <w:rsid w:val="00410297"/>
    <w:rsid w:val="0041030F"/>
    <w:rsid w:val="00410431"/>
    <w:rsid w:val="0041055E"/>
    <w:rsid w:val="004105AA"/>
    <w:rsid w:val="00410839"/>
    <w:rsid w:val="0041084E"/>
    <w:rsid w:val="00410AF2"/>
    <w:rsid w:val="004111DE"/>
    <w:rsid w:val="00411A71"/>
    <w:rsid w:val="00411D2B"/>
    <w:rsid w:val="0041219E"/>
    <w:rsid w:val="004127C9"/>
    <w:rsid w:val="00412C0E"/>
    <w:rsid w:val="00412E65"/>
    <w:rsid w:val="00413200"/>
    <w:rsid w:val="00413C01"/>
    <w:rsid w:val="00413D2D"/>
    <w:rsid w:val="00414261"/>
    <w:rsid w:val="0041444F"/>
    <w:rsid w:val="004145B5"/>
    <w:rsid w:val="0041463B"/>
    <w:rsid w:val="00414738"/>
    <w:rsid w:val="00414B6B"/>
    <w:rsid w:val="00415262"/>
    <w:rsid w:val="00415DE1"/>
    <w:rsid w:val="00415EA7"/>
    <w:rsid w:val="004162B6"/>
    <w:rsid w:val="004164AE"/>
    <w:rsid w:val="004168DE"/>
    <w:rsid w:val="00416B43"/>
    <w:rsid w:val="004172D9"/>
    <w:rsid w:val="00417BB9"/>
    <w:rsid w:val="00417EDF"/>
    <w:rsid w:val="00420262"/>
    <w:rsid w:val="0042053E"/>
    <w:rsid w:val="004207EC"/>
    <w:rsid w:val="004214D7"/>
    <w:rsid w:val="004217C4"/>
    <w:rsid w:val="004218CA"/>
    <w:rsid w:val="00422123"/>
    <w:rsid w:val="0042227D"/>
    <w:rsid w:val="004223DF"/>
    <w:rsid w:val="00422523"/>
    <w:rsid w:val="0042260E"/>
    <w:rsid w:val="00422626"/>
    <w:rsid w:val="00422945"/>
    <w:rsid w:val="00422D8D"/>
    <w:rsid w:val="00422FA7"/>
    <w:rsid w:val="004235C8"/>
    <w:rsid w:val="004242AC"/>
    <w:rsid w:val="0042459E"/>
    <w:rsid w:val="004247DA"/>
    <w:rsid w:val="00424932"/>
    <w:rsid w:val="004249D1"/>
    <w:rsid w:val="0042519B"/>
    <w:rsid w:val="00425241"/>
    <w:rsid w:val="00425318"/>
    <w:rsid w:val="0042538F"/>
    <w:rsid w:val="00425682"/>
    <w:rsid w:val="004257C1"/>
    <w:rsid w:val="00425D3A"/>
    <w:rsid w:val="0042622E"/>
    <w:rsid w:val="00426707"/>
    <w:rsid w:val="00426853"/>
    <w:rsid w:val="0042687D"/>
    <w:rsid w:val="00426A57"/>
    <w:rsid w:val="00426C07"/>
    <w:rsid w:val="00426C40"/>
    <w:rsid w:val="004277A4"/>
    <w:rsid w:val="00427879"/>
    <w:rsid w:val="004278D5"/>
    <w:rsid w:val="00427A25"/>
    <w:rsid w:val="00427A6A"/>
    <w:rsid w:val="00427D27"/>
    <w:rsid w:val="004305D6"/>
    <w:rsid w:val="0043068B"/>
    <w:rsid w:val="00430726"/>
    <w:rsid w:val="004308AF"/>
    <w:rsid w:val="00430A7C"/>
    <w:rsid w:val="00431104"/>
    <w:rsid w:val="00431126"/>
    <w:rsid w:val="00431769"/>
    <w:rsid w:val="00431BFD"/>
    <w:rsid w:val="00431D5A"/>
    <w:rsid w:val="00431DC0"/>
    <w:rsid w:val="00432008"/>
    <w:rsid w:val="004320AB"/>
    <w:rsid w:val="00432153"/>
    <w:rsid w:val="004322ED"/>
    <w:rsid w:val="00432338"/>
    <w:rsid w:val="004323F6"/>
    <w:rsid w:val="00432489"/>
    <w:rsid w:val="00432837"/>
    <w:rsid w:val="004328AD"/>
    <w:rsid w:val="00432C0C"/>
    <w:rsid w:val="0043303D"/>
    <w:rsid w:val="004332EA"/>
    <w:rsid w:val="004333BB"/>
    <w:rsid w:val="00433989"/>
    <w:rsid w:val="00433A1B"/>
    <w:rsid w:val="00433AF0"/>
    <w:rsid w:val="00433B93"/>
    <w:rsid w:val="004343E4"/>
    <w:rsid w:val="004344A4"/>
    <w:rsid w:val="00434855"/>
    <w:rsid w:val="004349C8"/>
    <w:rsid w:val="00434CB1"/>
    <w:rsid w:val="00434EBF"/>
    <w:rsid w:val="00434F88"/>
    <w:rsid w:val="004352D1"/>
    <w:rsid w:val="0043562E"/>
    <w:rsid w:val="00435750"/>
    <w:rsid w:val="00435AAD"/>
    <w:rsid w:val="00435B1D"/>
    <w:rsid w:val="00435B3E"/>
    <w:rsid w:val="0043626B"/>
    <w:rsid w:val="004362C6"/>
    <w:rsid w:val="00436FDE"/>
    <w:rsid w:val="0043710E"/>
    <w:rsid w:val="004372E6"/>
    <w:rsid w:val="00437521"/>
    <w:rsid w:val="00437A4D"/>
    <w:rsid w:val="00437E12"/>
    <w:rsid w:val="004400BE"/>
    <w:rsid w:val="00440686"/>
    <w:rsid w:val="004406D6"/>
    <w:rsid w:val="004407EC"/>
    <w:rsid w:val="00440A31"/>
    <w:rsid w:val="00440A8F"/>
    <w:rsid w:val="00440ED2"/>
    <w:rsid w:val="0044156D"/>
    <w:rsid w:val="00441751"/>
    <w:rsid w:val="00441D3D"/>
    <w:rsid w:val="00441E0A"/>
    <w:rsid w:val="00441E7F"/>
    <w:rsid w:val="00442C1B"/>
    <w:rsid w:val="00442C30"/>
    <w:rsid w:val="00442C81"/>
    <w:rsid w:val="00443120"/>
    <w:rsid w:val="00443574"/>
    <w:rsid w:val="00443674"/>
    <w:rsid w:val="00443742"/>
    <w:rsid w:val="00443D2F"/>
    <w:rsid w:val="00443DB8"/>
    <w:rsid w:val="00443DFC"/>
    <w:rsid w:val="00444178"/>
    <w:rsid w:val="00444284"/>
    <w:rsid w:val="00444294"/>
    <w:rsid w:val="00444401"/>
    <w:rsid w:val="004447B0"/>
    <w:rsid w:val="00444AAC"/>
    <w:rsid w:val="00444E00"/>
    <w:rsid w:val="00444F02"/>
    <w:rsid w:val="004450D1"/>
    <w:rsid w:val="0044519B"/>
    <w:rsid w:val="00445313"/>
    <w:rsid w:val="00446006"/>
    <w:rsid w:val="0044646B"/>
    <w:rsid w:val="00446B79"/>
    <w:rsid w:val="00446C52"/>
    <w:rsid w:val="00446C55"/>
    <w:rsid w:val="00446DC5"/>
    <w:rsid w:val="00446F7E"/>
    <w:rsid w:val="0044788E"/>
    <w:rsid w:val="00447ACA"/>
    <w:rsid w:val="00447FF2"/>
    <w:rsid w:val="00450303"/>
    <w:rsid w:val="0045039E"/>
    <w:rsid w:val="004503D9"/>
    <w:rsid w:val="004505D1"/>
    <w:rsid w:val="00450C83"/>
    <w:rsid w:val="00450E39"/>
    <w:rsid w:val="00450EB8"/>
    <w:rsid w:val="00450F57"/>
    <w:rsid w:val="0045100C"/>
    <w:rsid w:val="004512D1"/>
    <w:rsid w:val="00451340"/>
    <w:rsid w:val="00451381"/>
    <w:rsid w:val="0045207C"/>
    <w:rsid w:val="00452467"/>
    <w:rsid w:val="004524D7"/>
    <w:rsid w:val="004527FB"/>
    <w:rsid w:val="00452A0C"/>
    <w:rsid w:val="00452DCA"/>
    <w:rsid w:val="00453587"/>
    <w:rsid w:val="00453708"/>
    <w:rsid w:val="0045378A"/>
    <w:rsid w:val="004539D8"/>
    <w:rsid w:val="00453A79"/>
    <w:rsid w:val="00453C96"/>
    <w:rsid w:val="0045471B"/>
    <w:rsid w:val="00455547"/>
    <w:rsid w:val="00455552"/>
    <w:rsid w:val="0045576C"/>
    <w:rsid w:val="00455990"/>
    <w:rsid w:val="00455D3E"/>
    <w:rsid w:val="00455DB0"/>
    <w:rsid w:val="00456180"/>
    <w:rsid w:val="004563ED"/>
    <w:rsid w:val="0045643E"/>
    <w:rsid w:val="00456675"/>
    <w:rsid w:val="004567BD"/>
    <w:rsid w:val="00456D79"/>
    <w:rsid w:val="00456F32"/>
    <w:rsid w:val="004573EF"/>
    <w:rsid w:val="00457A37"/>
    <w:rsid w:val="00457FDF"/>
    <w:rsid w:val="004600D8"/>
    <w:rsid w:val="004600E6"/>
    <w:rsid w:val="004606B7"/>
    <w:rsid w:val="004610D8"/>
    <w:rsid w:val="004618F6"/>
    <w:rsid w:val="004619E9"/>
    <w:rsid w:val="00461E3B"/>
    <w:rsid w:val="004623FD"/>
    <w:rsid w:val="0046273A"/>
    <w:rsid w:val="00462BA9"/>
    <w:rsid w:val="00462C5C"/>
    <w:rsid w:val="0046331B"/>
    <w:rsid w:val="00463598"/>
    <w:rsid w:val="004637D4"/>
    <w:rsid w:val="00463E42"/>
    <w:rsid w:val="00464008"/>
    <w:rsid w:val="004647F3"/>
    <w:rsid w:val="00464CA3"/>
    <w:rsid w:val="0046580C"/>
    <w:rsid w:val="004659BF"/>
    <w:rsid w:val="00465BAD"/>
    <w:rsid w:val="00465E0F"/>
    <w:rsid w:val="00465FB9"/>
    <w:rsid w:val="00466414"/>
    <w:rsid w:val="00466418"/>
    <w:rsid w:val="0046645A"/>
    <w:rsid w:val="00466493"/>
    <w:rsid w:val="00466BCB"/>
    <w:rsid w:val="00466F61"/>
    <w:rsid w:val="00467045"/>
    <w:rsid w:val="00467232"/>
    <w:rsid w:val="004675F5"/>
    <w:rsid w:val="00467B88"/>
    <w:rsid w:val="00467D34"/>
    <w:rsid w:val="00467D52"/>
    <w:rsid w:val="0047010A"/>
    <w:rsid w:val="00470232"/>
    <w:rsid w:val="004702B5"/>
    <w:rsid w:val="00470752"/>
    <w:rsid w:val="0047084E"/>
    <w:rsid w:val="004708CB"/>
    <w:rsid w:val="00470A48"/>
    <w:rsid w:val="00470F5F"/>
    <w:rsid w:val="00471236"/>
    <w:rsid w:val="004715DE"/>
    <w:rsid w:val="00471604"/>
    <w:rsid w:val="0047161A"/>
    <w:rsid w:val="004716F7"/>
    <w:rsid w:val="00471A90"/>
    <w:rsid w:val="00471D9B"/>
    <w:rsid w:val="0047209F"/>
    <w:rsid w:val="00472141"/>
    <w:rsid w:val="00472221"/>
    <w:rsid w:val="00472399"/>
    <w:rsid w:val="00472839"/>
    <w:rsid w:val="00472BBA"/>
    <w:rsid w:val="00472BD0"/>
    <w:rsid w:val="00472ED4"/>
    <w:rsid w:val="0047322B"/>
    <w:rsid w:val="0047379B"/>
    <w:rsid w:val="00473D91"/>
    <w:rsid w:val="00473EB3"/>
    <w:rsid w:val="004743D8"/>
    <w:rsid w:val="0047441D"/>
    <w:rsid w:val="00474AF1"/>
    <w:rsid w:val="004750BB"/>
    <w:rsid w:val="00475471"/>
    <w:rsid w:val="00475842"/>
    <w:rsid w:val="00475A1B"/>
    <w:rsid w:val="00475AEC"/>
    <w:rsid w:val="00475B01"/>
    <w:rsid w:val="0047692E"/>
    <w:rsid w:val="00476AB8"/>
    <w:rsid w:val="00476B8B"/>
    <w:rsid w:val="00476C91"/>
    <w:rsid w:val="00477259"/>
    <w:rsid w:val="0047737C"/>
    <w:rsid w:val="004773B7"/>
    <w:rsid w:val="004775DE"/>
    <w:rsid w:val="004775F6"/>
    <w:rsid w:val="00477AF9"/>
    <w:rsid w:val="00477B63"/>
    <w:rsid w:val="00477DA1"/>
    <w:rsid w:val="0048082B"/>
    <w:rsid w:val="00480ED1"/>
    <w:rsid w:val="004811DC"/>
    <w:rsid w:val="004814B8"/>
    <w:rsid w:val="004814BB"/>
    <w:rsid w:val="00481E7D"/>
    <w:rsid w:val="00482705"/>
    <w:rsid w:val="004828FB"/>
    <w:rsid w:val="00482984"/>
    <w:rsid w:val="00482BF8"/>
    <w:rsid w:val="00482E98"/>
    <w:rsid w:val="0048318D"/>
    <w:rsid w:val="004835E8"/>
    <w:rsid w:val="00483A4A"/>
    <w:rsid w:val="00483BF7"/>
    <w:rsid w:val="0048490A"/>
    <w:rsid w:val="0048497D"/>
    <w:rsid w:val="004853C2"/>
    <w:rsid w:val="004855AF"/>
    <w:rsid w:val="0048561E"/>
    <w:rsid w:val="004859A2"/>
    <w:rsid w:val="004859EC"/>
    <w:rsid w:val="00485D58"/>
    <w:rsid w:val="00485DF7"/>
    <w:rsid w:val="004860E8"/>
    <w:rsid w:val="0048627F"/>
    <w:rsid w:val="00486777"/>
    <w:rsid w:val="00486C6A"/>
    <w:rsid w:val="00486EF9"/>
    <w:rsid w:val="0048712C"/>
    <w:rsid w:val="00487681"/>
    <w:rsid w:val="00487959"/>
    <w:rsid w:val="00487B3A"/>
    <w:rsid w:val="00487CC1"/>
    <w:rsid w:val="00487E7D"/>
    <w:rsid w:val="00487F39"/>
    <w:rsid w:val="00490017"/>
    <w:rsid w:val="0049023D"/>
    <w:rsid w:val="004903A9"/>
    <w:rsid w:val="00490488"/>
    <w:rsid w:val="004909B3"/>
    <w:rsid w:val="00490AD5"/>
    <w:rsid w:val="00490D13"/>
    <w:rsid w:val="00490D30"/>
    <w:rsid w:val="00490DC1"/>
    <w:rsid w:val="004913BB"/>
    <w:rsid w:val="004913EA"/>
    <w:rsid w:val="004915B5"/>
    <w:rsid w:val="0049174F"/>
    <w:rsid w:val="0049181F"/>
    <w:rsid w:val="004919F8"/>
    <w:rsid w:val="00491A87"/>
    <w:rsid w:val="00492056"/>
    <w:rsid w:val="0049215F"/>
    <w:rsid w:val="00492901"/>
    <w:rsid w:val="00492A1E"/>
    <w:rsid w:val="00492B21"/>
    <w:rsid w:val="00492CB8"/>
    <w:rsid w:val="0049311B"/>
    <w:rsid w:val="00493252"/>
    <w:rsid w:val="00493A0C"/>
    <w:rsid w:val="0049442F"/>
    <w:rsid w:val="004949C0"/>
    <w:rsid w:val="00494F0F"/>
    <w:rsid w:val="00495053"/>
    <w:rsid w:val="0049542F"/>
    <w:rsid w:val="00496166"/>
    <w:rsid w:val="00496470"/>
    <w:rsid w:val="00496605"/>
    <w:rsid w:val="00496DF4"/>
    <w:rsid w:val="00496E91"/>
    <w:rsid w:val="004979DA"/>
    <w:rsid w:val="00497A0E"/>
    <w:rsid w:val="00497D2A"/>
    <w:rsid w:val="004A021D"/>
    <w:rsid w:val="004A0545"/>
    <w:rsid w:val="004A0700"/>
    <w:rsid w:val="004A0D23"/>
    <w:rsid w:val="004A1239"/>
    <w:rsid w:val="004A1676"/>
    <w:rsid w:val="004A1699"/>
    <w:rsid w:val="004A2066"/>
    <w:rsid w:val="004A2253"/>
    <w:rsid w:val="004A23F7"/>
    <w:rsid w:val="004A2861"/>
    <w:rsid w:val="004A2B89"/>
    <w:rsid w:val="004A2F5C"/>
    <w:rsid w:val="004A3084"/>
    <w:rsid w:val="004A3F72"/>
    <w:rsid w:val="004A4101"/>
    <w:rsid w:val="004A4B4B"/>
    <w:rsid w:val="004A4BDA"/>
    <w:rsid w:val="004A4CB6"/>
    <w:rsid w:val="004A5032"/>
    <w:rsid w:val="004A5253"/>
    <w:rsid w:val="004A5579"/>
    <w:rsid w:val="004A58AB"/>
    <w:rsid w:val="004A58AD"/>
    <w:rsid w:val="004A5B92"/>
    <w:rsid w:val="004A5E97"/>
    <w:rsid w:val="004A5E99"/>
    <w:rsid w:val="004A655A"/>
    <w:rsid w:val="004A690C"/>
    <w:rsid w:val="004A6E73"/>
    <w:rsid w:val="004A6F99"/>
    <w:rsid w:val="004A7073"/>
    <w:rsid w:val="004A7183"/>
    <w:rsid w:val="004A738F"/>
    <w:rsid w:val="004A7630"/>
    <w:rsid w:val="004A7E54"/>
    <w:rsid w:val="004B0228"/>
    <w:rsid w:val="004B045C"/>
    <w:rsid w:val="004B06EF"/>
    <w:rsid w:val="004B0A98"/>
    <w:rsid w:val="004B0AB6"/>
    <w:rsid w:val="004B0D72"/>
    <w:rsid w:val="004B119A"/>
    <w:rsid w:val="004B1A11"/>
    <w:rsid w:val="004B1AE2"/>
    <w:rsid w:val="004B2E89"/>
    <w:rsid w:val="004B2F5D"/>
    <w:rsid w:val="004B3026"/>
    <w:rsid w:val="004B3176"/>
    <w:rsid w:val="004B340F"/>
    <w:rsid w:val="004B35E9"/>
    <w:rsid w:val="004B386D"/>
    <w:rsid w:val="004B389C"/>
    <w:rsid w:val="004B3E3C"/>
    <w:rsid w:val="004B4700"/>
    <w:rsid w:val="004B4D94"/>
    <w:rsid w:val="004B4DF4"/>
    <w:rsid w:val="004B5895"/>
    <w:rsid w:val="004B5D76"/>
    <w:rsid w:val="004B61D5"/>
    <w:rsid w:val="004B6515"/>
    <w:rsid w:val="004B651E"/>
    <w:rsid w:val="004B6828"/>
    <w:rsid w:val="004B68FB"/>
    <w:rsid w:val="004B690D"/>
    <w:rsid w:val="004B690E"/>
    <w:rsid w:val="004B6A98"/>
    <w:rsid w:val="004B6E40"/>
    <w:rsid w:val="004B73B4"/>
    <w:rsid w:val="004B74EA"/>
    <w:rsid w:val="004B752D"/>
    <w:rsid w:val="004B7681"/>
    <w:rsid w:val="004B7E35"/>
    <w:rsid w:val="004B7F72"/>
    <w:rsid w:val="004C0187"/>
    <w:rsid w:val="004C02F7"/>
    <w:rsid w:val="004C0567"/>
    <w:rsid w:val="004C0650"/>
    <w:rsid w:val="004C0B9B"/>
    <w:rsid w:val="004C0D3F"/>
    <w:rsid w:val="004C0F68"/>
    <w:rsid w:val="004C0F7E"/>
    <w:rsid w:val="004C10AD"/>
    <w:rsid w:val="004C1110"/>
    <w:rsid w:val="004C13D4"/>
    <w:rsid w:val="004C1B29"/>
    <w:rsid w:val="004C1BE4"/>
    <w:rsid w:val="004C1D1C"/>
    <w:rsid w:val="004C2153"/>
    <w:rsid w:val="004C24E1"/>
    <w:rsid w:val="004C2547"/>
    <w:rsid w:val="004C2EFA"/>
    <w:rsid w:val="004C30AD"/>
    <w:rsid w:val="004C324A"/>
    <w:rsid w:val="004C3279"/>
    <w:rsid w:val="004C3F37"/>
    <w:rsid w:val="004C48FC"/>
    <w:rsid w:val="004C4C97"/>
    <w:rsid w:val="004C4CEE"/>
    <w:rsid w:val="004C4E19"/>
    <w:rsid w:val="004C4E29"/>
    <w:rsid w:val="004C5176"/>
    <w:rsid w:val="004C52C6"/>
    <w:rsid w:val="004C55DB"/>
    <w:rsid w:val="004C5664"/>
    <w:rsid w:val="004C57A0"/>
    <w:rsid w:val="004C58E4"/>
    <w:rsid w:val="004C5D14"/>
    <w:rsid w:val="004C5EF3"/>
    <w:rsid w:val="004C618E"/>
    <w:rsid w:val="004C642A"/>
    <w:rsid w:val="004C672E"/>
    <w:rsid w:val="004C684B"/>
    <w:rsid w:val="004C6E94"/>
    <w:rsid w:val="004C6EC0"/>
    <w:rsid w:val="004C6F8F"/>
    <w:rsid w:val="004C7217"/>
    <w:rsid w:val="004C73B8"/>
    <w:rsid w:val="004C74C1"/>
    <w:rsid w:val="004C7611"/>
    <w:rsid w:val="004C799F"/>
    <w:rsid w:val="004C7B63"/>
    <w:rsid w:val="004C7DED"/>
    <w:rsid w:val="004D012B"/>
    <w:rsid w:val="004D07C7"/>
    <w:rsid w:val="004D10B8"/>
    <w:rsid w:val="004D14CF"/>
    <w:rsid w:val="004D1CD7"/>
    <w:rsid w:val="004D1E97"/>
    <w:rsid w:val="004D2334"/>
    <w:rsid w:val="004D257E"/>
    <w:rsid w:val="004D28E7"/>
    <w:rsid w:val="004D384C"/>
    <w:rsid w:val="004D38B2"/>
    <w:rsid w:val="004D3D95"/>
    <w:rsid w:val="004D405C"/>
    <w:rsid w:val="004D4243"/>
    <w:rsid w:val="004D44F1"/>
    <w:rsid w:val="004D4C09"/>
    <w:rsid w:val="004D5012"/>
    <w:rsid w:val="004D55FD"/>
    <w:rsid w:val="004D5BAD"/>
    <w:rsid w:val="004D5E5A"/>
    <w:rsid w:val="004D627D"/>
    <w:rsid w:val="004D664C"/>
    <w:rsid w:val="004D66E1"/>
    <w:rsid w:val="004D676F"/>
    <w:rsid w:val="004D680C"/>
    <w:rsid w:val="004D6A60"/>
    <w:rsid w:val="004D7089"/>
    <w:rsid w:val="004D7404"/>
    <w:rsid w:val="004D77EA"/>
    <w:rsid w:val="004D79F4"/>
    <w:rsid w:val="004D7AD3"/>
    <w:rsid w:val="004D7D1C"/>
    <w:rsid w:val="004D7EF2"/>
    <w:rsid w:val="004E0162"/>
    <w:rsid w:val="004E01B7"/>
    <w:rsid w:val="004E0319"/>
    <w:rsid w:val="004E039A"/>
    <w:rsid w:val="004E0766"/>
    <w:rsid w:val="004E07DE"/>
    <w:rsid w:val="004E0D87"/>
    <w:rsid w:val="004E0EA4"/>
    <w:rsid w:val="004E1147"/>
    <w:rsid w:val="004E1415"/>
    <w:rsid w:val="004E1994"/>
    <w:rsid w:val="004E1F0C"/>
    <w:rsid w:val="004E2105"/>
    <w:rsid w:val="004E30CD"/>
    <w:rsid w:val="004E32AD"/>
    <w:rsid w:val="004E3345"/>
    <w:rsid w:val="004E3AD0"/>
    <w:rsid w:val="004E3C58"/>
    <w:rsid w:val="004E3D13"/>
    <w:rsid w:val="004E3F29"/>
    <w:rsid w:val="004E414D"/>
    <w:rsid w:val="004E4984"/>
    <w:rsid w:val="004E4FE7"/>
    <w:rsid w:val="004E56A3"/>
    <w:rsid w:val="004E589A"/>
    <w:rsid w:val="004E5C32"/>
    <w:rsid w:val="004E6451"/>
    <w:rsid w:val="004E655E"/>
    <w:rsid w:val="004E6A1F"/>
    <w:rsid w:val="004E6C8F"/>
    <w:rsid w:val="004E6CD7"/>
    <w:rsid w:val="004E6DAF"/>
    <w:rsid w:val="004E6EB1"/>
    <w:rsid w:val="004E738F"/>
    <w:rsid w:val="004E73E0"/>
    <w:rsid w:val="004E74DA"/>
    <w:rsid w:val="004E765F"/>
    <w:rsid w:val="004E784D"/>
    <w:rsid w:val="004E78FA"/>
    <w:rsid w:val="004E7F8F"/>
    <w:rsid w:val="004F0055"/>
    <w:rsid w:val="004F0069"/>
    <w:rsid w:val="004F112E"/>
    <w:rsid w:val="004F134C"/>
    <w:rsid w:val="004F1AAC"/>
    <w:rsid w:val="004F2417"/>
    <w:rsid w:val="004F2502"/>
    <w:rsid w:val="004F2CE3"/>
    <w:rsid w:val="004F2D0A"/>
    <w:rsid w:val="004F3961"/>
    <w:rsid w:val="004F3B34"/>
    <w:rsid w:val="004F3D03"/>
    <w:rsid w:val="004F4072"/>
    <w:rsid w:val="004F413B"/>
    <w:rsid w:val="004F4154"/>
    <w:rsid w:val="004F4620"/>
    <w:rsid w:val="004F4A96"/>
    <w:rsid w:val="004F4AB8"/>
    <w:rsid w:val="004F4EB5"/>
    <w:rsid w:val="004F4EC8"/>
    <w:rsid w:val="004F56CB"/>
    <w:rsid w:val="004F57BE"/>
    <w:rsid w:val="004F57BF"/>
    <w:rsid w:val="004F5AA3"/>
    <w:rsid w:val="004F5C97"/>
    <w:rsid w:val="004F5CF6"/>
    <w:rsid w:val="004F61E0"/>
    <w:rsid w:val="004F6E7D"/>
    <w:rsid w:val="004F7153"/>
    <w:rsid w:val="004F78D4"/>
    <w:rsid w:val="004F7A03"/>
    <w:rsid w:val="004F7C06"/>
    <w:rsid w:val="004F7ED6"/>
    <w:rsid w:val="004F7F6B"/>
    <w:rsid w:val="00500671"/>
    <w:rsid w:val="0050080C"/>
    <w:rsid w:val="00500A53"/>
    <w:rsid w:val="00500B9B"/>
    <w:rsid w:val="00500F3E"/>
    <w:rsid w:val="005010C2"/>
    <w:rsid w:val="00501729"/>
    <w:rsid w:val="00501A03"/>
    <w:rsid w:val="00501D07"/>
    <w:rsid w:val="005023C5"/>
    <w:rsid w:val="00502B5B"/>
    <w:rsid w:val="00502B84"/>
    <w:rsid w:val="00502BA3"/>
    <w:rsid w:val="005033F4"/>
    <w:rsid w:val="00503778"/>
    <w:rsid w:val="00503797"/>
    <w:rsid w:val="00503B78"/>
    <w:rsid w:val="00503F3C"/>
    <w:rsid w:val="00503F46"/>
    <w:rsid w:val="00503F8D"/>
    <w:rsid w:val="00503F93"/>
    <w:rsid w:val="005043CE"/>
    <w:rsid w:val="005044AC"/>
    <w:rsid w:val="005049EC"/>
    <w:rsid w:val="00504BA9"/>
    <w:rsid w:val="00505138"/>
    <w:rsid w:val="005052C6"/>
    <w:rsid w:val="0050568E"/>
    <w:rsid w:val="00505A65"/>
    <w:rsid w:val="00505BDF"/>
    <w:rsid w:val="00505E30"/>
    <w:rsid w:val="00505FB5"/>
    <w:rsid w:val="00505FC8"/>
    <w:rsid w:val="005069C8"/>
    <w:rsid w:val="00506FA8"/>
    <w:rsid w:val="0050746C"/>
    <w:rsid w:val="0050757E"/>
    <w:rsid w:val="00507592"/>
    <w:rsid w:val="005075B0"/>
    <w:rsid w:val="005078FD"/>
    <w:rsid w:val="00507CF4"/>
    <w:rsid w:val="00507D51"/>
    <w:rsid w:val="00510AA0"/>
    <w:rsid w:val="00510B11"/>
    <w:rsid w:val="00510E54"/>
    <w:rsid w:val="00510EDE"/>
    <w:rsid w:val="00510EF1"/>
    <w:rsid w:val="00510F75"/>
    <w:rsid w:val="0051126E"/>
    <w:rsid w:val="00511518"/>
    <w:rsid w:val="00511A6B"/>
    <w:rsid w:val="00511E3E"/>
    <w:rsid w:val="005131BC"/>
    <w:rsid w:val="005139A0"/>
    <w:rsid w:val="00513E1F"/>
    <w:rsid w:val="00513F10"/>
    <w:rsid w:val="00514032"/>
    <w:rsid w:val="00514157"/>
    <w:rsid w:val="0051426A"/>
    <w:rsid w:val="00514327"/>
    <w:rsid w:val="005144F4"/>
    <w:rsid w:val="0051464A"/>
    <w:rsid w:val="005147CC"/>
    <w:rsid w:val="00514879"/>
    <w:rsid w:val="00514A3C"/>
    <w:rsid w:val="00514AB8"/>
    <w:rsid w:val="00514D0B"/>
    <w:rsid w:val="00514DD3"/>
    <w:rsid w:val="00515263"/>
    <w:rsid w:val="0051551D"/>
    <w:rsid w:val="00515566"/>
    <w:rsid w:val="00515814"/>
    <w:rsid w:val="00515BB8"/>
    <w:rsid w:val="00515DC1"/>
    <w:rsid w:val="00515F42"/>
    <w:rsid w:val="00515FE5"/>
    <w:rsid w:val="0051600E"/>
    <w:rsid w:val="0051694C"/>
    <w:rsid w:val="00516EF6"/>
    <w:rsid w:val="0051737F"/>
    <w:rsid w:val="005176DC"/>
    <w:rsid w:val="005178AE"/>
    <w:rsid w:val="00517EE3"/>
    <w:rsid w:val="00517EEA"/>
    <w:rsid w:val="00520DC0"/>
    <w:rsid w:val="00520E5B"/>
    <w:rsid w:val="00520EEB"/>
    <w:rsid w:val="005212D4"/>
    <w:rsid w:val="00521862"/>
    <w:rsid w:val="005218A6"/>
    <w:rsid w:val="00521939"/>
    <w:rsid w:val="00521CF4"/>
    <w:rsid w:val="00521F3C"/>
    <w:rsid w:val="00522118"/>
    <w:rsid w:val="005222A1"/>
    <w:rsid w:val="005224C3"/>
    <w:rsid w:val="005225D7"/>
    <w:rsid w:val="005225DF"/>
    <w:rsid w:val="005226BA"/>
    <w:rsid w:val="00522A5D"/>
    <w:rsid w:val="0052308B"/>
    <w:rsid w:val="0052340A"/>
    <w:rsid w:val="00523A36"/>
    <w:rsid w:val="00523C7D"/>
    <w:rsid w:val="00523DD7"/>
    <w:rsid w:val="005240A1"/>
    <w:rsid w:val="005244BF"/>
    <w:rsid w:val="005246A9"/>
    <w:rsid w:val="00524780"/>
    <w:rsid w:val="005248CB"/>
    <w:rsid w:val="00524D55"/>
    <w:rsid w:val="0052501F"/>
    <w:rsid w:val="00525153"/>
    <w:rsid w:val="005253DF"/>
    <w:rsid w:val="005256E2"/>
    <w:rsid w:val="0052572A"/>
    <w:rsid w:val="00525BB6"/>
    <w:rsid w:val="00526242"/>
    <w:rsid w:val="00526491"/>
    <w:rsid w:val="00526A3A"/>
    <w:rsid w:val="00526AD5"/>
    <w:rsid w:val="00526D72"/>
    <w:rsid w:val="00527395"/>
    <w:rsid w:val="005277BE"/>
    <w:rsid w:val="00527913"/>
    <w:rsid w:val="00530256"/>
    <w:rsid w:val="0053025F"/>
    <w:rsid w:val="005306B3"/>
    <w:rsid w:val="00530F45"/>
    <w:rsid w:val="00531035"/>
    <w:rsid w:val="00531212"/>
    <w:rsid w:val="00531670"/>
    <w:rsid w:val="005317FA"/>
    <w:rsid w:val="005319B6"/>
    <w:rsid w:val="00531BB3"/>
    <w:rsid w:val="00531CA8"/>
    <w:rsid w:val="00533269"/>
    <w:rsid w:val="00533AB0"/>
    <w:rsid w:val="00533BCE"/>
    <w:rsid w:val="00534141"/>
    <w:rsid w:val="0053465D"/>
    <w:rsid w:val="0053508F"/>
    <w:rsid w:val="00535717"/>
    <w:rsid w:val="005368F7"/>
    <w:rsid w:val="00536A8B"/>
    <w:rsid w:val="00536BD4"/>
    <w:rsid w:val="00536C48"/>
    <w:rsid w:val="00536E95"/>
    <w:rsid w:val="00537153"/>
    <w:rsid w:val="00537517"/>
    <w:rsid w:val="00537775"/>
    <w:rsid w:val="005404CE"/>
    <w:rsid w:val="0054091B"/>
    <w:rsid w:val="00540F2B"/>
    <w:rsid w:val="00540F3D"/>
    <w:rsid w:val="00541149"/>
    <w:rsid w:val="00541538"/>
    <w:rsid w:val="00541B77"/>
    <w:rsid w:val="005426F4"/>
    <w:rsid w:val="0054325C"/>
    <w:rsid w:val="0054339A"/>
    <w:rsid w:val="005436D6"/>
    <w:rsid w:val="00543AEA"/>
    <w:rsid w:val="00543CA6"/>
    <w:rsid w:val="00543DB0"/>
    <w:rsid w:val="005441D7"/>
    <w:rsid w:val="00544669"/>
    <w:rsid w:val="005448D2"/>
    <w:rsid w:val="00544BBB"/>
    <w:rsid w:val="00544C16"/>
    <w:rsid w:val="005451B5"/>
    <w:rsid w:val="005452A0"/>
    <w:rsid w:val="0054532E"/>
    <w:rsid w:val="00545AFD"/>
    <w:rsid w:val="00546017"/>
    <w:rsid w:val="0054623D"/>
    <w:rsid w:val="005464DC"/>
    <w:rsid w:val="00546996"/>
    <w:rsid w:val="005469BB"/>
    <w:rsid w:val="00546EAC"/>
    <w:rsid w:val="0054754F"/>
    <w:rsid w:val="00547936"/>
    <w:rsid w:val="00547E76"/>
    <w:rsid w:val="00550092"/>
    <w:rsid w:val="00550226"/>
    <w:rsid w:val="005505D5"/>
    <w:rsid w:val="005505FD"/>
    <w:rsid w:val="00550629"/>
    <w:rsid w:val="00550672"/>
    <w:rsid w:val="00551439"/>
    <w:rsid w:val="005527F7"/>
    <w:rsid w:val="00552B00"/>
    <w:rsid w:val="005532BB"/>
    <w:rsid w:val="0055353A"/>
    <w:rsid w:val="0055381F"/>
    <w:rsid w:val="005538A8"/>
    <w:rsid w:val="00553FF5"/>
    <w:rsid w:val="0055435A"/>
    <w:rsid w:val="005543BF"/>
    <w:rsid w:val="005544D0"/>
    <w:rsid w:val="005549D4"/>
    <w:rsid w:val="00554C2E"/>
    <w:rsid w:val="00554C51"/>
    <w:rsid w:val="00554F06"/>
    <w:rsid w:val="005553D5"/>
    <w:rsid w:val="00555409"/>
    <w:rsid w:val="0055553F"/>
    <w:rsid w:val="0055555A"/>
    <w:rsid w:val="00555FF6"/>
    <w:rsid w:val="00556117"/>
    <w:rsid w:val="005565DA"/>
    <w:rsid w:val="00556F4B"/>
    <w:rsid w:val="005572E1"/>
    <w:rsid w:val="00557335"/>
    <w:rsid w:val="005573A8"/>
    <w:rsid w:val="00557570"/>
    <w:rsid w:val="005576FF"/>
    <w:rsid w:val="005577AF"/>
    <w:rsid w:val="005578CF"/>
    <w:rsid w:val="00560060"/>
    <w:rsid w:val="005602EE"/>
    <w:rsid w:val="005603EB"/>
    <w:rsid w:val="005604D2"/>
    <w:rsid w:val="00560B13"/>
    <w:rsid w:val="005612E0"/>
    <w:rsid w:val="00561386"/>
    <w:rsid w:val="005614BD"/>
    <w:rsid w:val="00561953"/>
    <w:rsid w:val="00561B3B"/>
    <w:rsid w:val="00561DD5"/>
    <w:rsid w:val="00561E9B"/>
    <w:rsid w:val="005620CD"/>
    <w:rsid w:val="005624D9"/>
    <w:rsid w:val="00562B48"/>
    <w:rsid w:val="00562FDB"/>
    <w:rsid w:val="005636EC"/>
    <w:rsid w:val="0056377E"/>
    <w:rsid w:val="00563C39"/>
    <w:rsid w:val="005643A7"/>
    <w:rsid w:val="005644A7"/>
    <w:rsid w:val="00564887"/>
    <w:rsid w:val="00564F0E"/>
    <w:rsid w:val="00564F3E"/>
    <w:rsid w:val="00565029"/>
    <w:rsid w:val="005654B4"/>
    <w:rsid w:val="00565A4A"/>
    <w:rsid w:val="00565C11"/>
    <w:rsid w:val="00565C97"/>
    <w:rsid w:val="00565CC2"/>
    <w:rsid w:val="00565D09"/>
    <w:rsid w:val="00565D0B"/>
    <w:rsid w:val="00565D13"/>
    <w:rsid w:val="00565E9B"/>
    <w:rsid w:val="00565F7A"/>
    <w:rsid w:val="005663F8"/>
    <w:rsid w:val="005664AA"/>
    <w:rsid w:val="00566502"/>
    <w:rsid w:val="0056655D"/>
    <w:rsid w:val="00566576"/>
    <w:rsid w:val="00566891"/>
    <w:rsid w:val="00566E51"/>
    <w:rsid w:val="0056711C"/>
    <w:rsid w:val="00567239"/>
    <w:rsid w:val="005675C6"/>
    <w:rsid w:val="00567B2D"/>
    <w:rsid w:val="00567F99"/>
    <w:rsid w:val="005702BA"/>
    <w:rsid w:val="00570574"/>
    <w:rsid w:val="0057090A"/>
    <w:rsid w:val="0057153A"/>
    <w:rsid w:val="00571580"/>
    <w:rsid w:val="00571590"/>
    <w:rsid w:val="00571842"/>
    <w:rsid w:val="00571853"/>
    <w:rsid w:val="00571B3A"/>
    <w:rsid w:val="00571E20"/>
    <w:rsid w:val="00572047"/>
    <w:rsid w:val="0057238B"/>
    <w:rsid w:val="00572465"/>
    <w:rsid w:val="005724B6"/>
    <w:rsid w:val="00572520"/>
    <w:rsid w:val="00572771"/>
    <w:rsid w:val="00572DD2"/>
    <w:rsid w:val="00572EEA"/>
    <w:rsid w:val="0057329C"/>
    <w:rsid w:val="005735D3"/>
    <w:rsid w:val="00573A4B"/>
    <w:rsid w:val="0057454D"/>
    <w:rsid w:val="005747E3"/>
    <w:rsid w:val="00574BF2"/>
    <w:rsid w:val="0057579A"/>
    <w:rsid w:val="00575C21"/>
    <w:rsid w:val="00575DA7"/>
    <w:rsid w:val="00576347"/>
    <w:rsid w:val="00576740"/>
    <w:rsid w:val="00576795"/>
    <w:rsid w:val="00576A04"/>
    <w:rsid w:val="00576BD6"/>
    <w:rsid w:val="00576C18"/>
    <w:rsid w:val="00577A16"/>
    <w:rsid w:val="00577BBF"/>
    <w:rsid w:val="00577E39"/>
    <w:rsid w:val="00580266"/>
    <w:rsid w:val="00580434"/>
    <w:rsid w:val="005804B5"/>
    <w:rsid w:val="005804DF"/>
    <w:rsid w:val="0058069B"/>
    <w:rsid w:val="0058083A"/>
    <w:rsid w:val="00580A7C"/>
    <w:rsid w:val="00581111"/>
    <w:rsid w:val="0058122E"/>
    <w:rsid w:val="00581A0D"/>
    <w:rsid w:val="00581B3C"/>
    <w:rsid w:val="00581D6B"/>
    <w:rsid w:val="00582281"/>
    <w:rsid w:val="005827AD"/>
    <w:rsid w:val="005830E5"/>
    <w:rsid w:val="0058349B"/>
    <w:rsid w:val="005835E5"/>
    <w:rsid w:val="005836CE"/>
    <w:rsid w:val="00583870"/>
    <w:rsid w:val="00583A8B"/>
    <w:rsid w:val="00583C04"/>
    <w:rsid w:val="00583E92"/>
    <w:rsid w:val="00583EEA"/>
    <w:rsid w:val="00585495"/>
    <w:rsid w:val="0058603A"/>
    <w:rsid w:val="005860EC"/>
    <w:rsid w:val="00586138"/>
    <w:rsid w:val="00586160"/>
    <w:rsid w:val="005862D2"/>
    <w:rsid w:val="0058641F"/>
    <w:rsid w:val="0058644E"/>
    <w:rsid w:val="00586897"/>
    <w:rsid w:val="0058698C"/>
    <w:rsid w:val="00586B96"/>
    <w:rsid w:val="00586E46"/>
    <w:rsid w:val="005875FC"/>
    <w:rsid w:val="0059003E"/>
    <w:rsid w:val="0059033F"/>
    <w:rsid w:val="005906C3"/>
    <w:rsid w:val="0059080A"/>
    <w:rsid w:val="005909C2"/>
    <w:rsid w:val="00590DAA"/>
    <w:rsid w:val="00590F63"/>
    <w:rsid w:val="00590F96"/>
    <w:rsid w:val="00591050"/>
    <w:rsid w:val="005910FA"/>
    <w:rsid w:val="005911F5"/>
    <w:rsid w:val="0059132D"/>
    <w:rsid w:val="005913D9"/>
    <w:rsid w:val="005915D3"/>
    <w:rsid w:val="0059196E"/>
    <w:rsid w:val="00591C45"/>
    <w:rsid w:val="00592123"/>
    <w:rsid w:val="00592596"/>
    <w:rsid w:val="0059278C"/>
    <w:rsid w:val="00592969"/>
    <w:rsid w:val="00592C28"/>
    <w:rsid w:val="00592E39"/>
    <w:rsid w:val="005935AA"/>
    <w:rsid w:val="00593651"/>
    <w:rsid w:val="0059365D"/>
    <w:rsid w:val="005938F5"/>
    <w:rsid w:val="00593ACF"/>
    <w:rsid w:val="005940CA"/>
    <w:rsid w:val="00594947"/>
    <w:rsid w:val="00594981"/>
    <w:rsid w:val="00594A76"/>
    <w:rsid w:val="00594F76"/>
    <w:rsid w:val="005952A4"/>
    <w:rsid w:val="005954A6"/>
    <w:rsid w:val="005957D9"/>
    <w:rsid w:val="00595DDB"/>
    <w:rsid w:val="005962BE"/>
    <w:rsid w:val="0059645E"/>
    <w:rsid w:val="00597C1C"/>
    <w:rsid w:val="00597E4F"/>
    <w:rsid w:val="00597F88"/>
    <w:rsid w:val="00597FDC"/>
    <w:rsid w:val="005A04CC"/>
    <w:rsid w:val="005A11AF"/>
    <w:rsid w:val="005A1267"/>
    <w:rsid w:val="005A1415"/>
    <w:rsid w:val="005A1496"/>
    <w:rsid w:val="005A16A7"/>
    <w:rsid w:val="005A1900"/>
    <w:rsid w:val="005A1C24"/>
    <w:rsid w:val="005A1C79"/>
    <w:rsid w:val="005A2481"/>
    <w:rsid w:val="005A26C0"/>
    <w:rsid w:val="005A27DC"/>
    <w:rsid w:val="005A2A2B"/>
    <w:rsid w:val="005A2A4D"/>
    <w:rsid w:val="005A329E"/>
    <w:rsid w:val="005A34CA"/>
    <w:rsid w:val="005A3666"/>
    <w:rsid w:val="005A3DA1"/>
    <w:rsid w:val="005A3DFB"/>
    <w:rsid w:val="005A4910"/>
    <w:rsid w:val="005A4D30"/>
    <w:rsid w:val="005A5060"/>
    <w:rsid w:val="005A5C41"/>
    <w:rsid w:val="005A60CB"/>
    <w:rsid w:val="005A6327"/>
    <w:rsid w:val="005A654F"/>
    <w:rsid w:val="005A662E"/>
    <w:rsid w:val="005A689A"/>
    <w:rsid w:val="005A6B61"/>
    <w:rsid w:val="005A6CB7"/>
    <w:rsid w:val="005A6D33"/>
    <w:rsid w:val="005A6E70"/>
    <w:rsid w:val="005A776E"/>
    <w:rsid w:val="005A7829"/>
    <w:rsid w:val="005A790D"/>
    <w:rsid w:val="005B0117"/>
    <w:rsid w:val="005B07BC"/>
    <w:rsid w:val="005B0D5F"/>
    <w:rsid w:val="005B1109"/>
    <w:rsid w:val="005B111D"/>
    <w:rsid w:val="005B14A5"/>
    <w:rsid w:val="005B1A79"/>
    <w:rsid w:val="005B2566"/>
    <w:rsid w:val="005B2878"/>
    <w:rsid w:val="005B2BC3"/>
    <w:rsid w:val="005B2C3D"/>
    <w:rsid w:val="005B316A"/>
    <w:rsid w:val="005B318A"/>
    <w:rsid w:val="005B3721"/>
    <w:rsid w:val="005B3E56"/>
    <w:rsid w:val="005B407A"/>
    <w:rsid w:val="005B414B"/>
    <w:rsid w:val="005B423B"/>
    <w:rsid w:val="005B4320"/>
    <w:rsid w:val="005B4473"/>
    <w:rsid w:val="005B482F"/>
    <w:rsid w:val="005B49A0"/>
    <w:rsid w:val="005B4EDB"/>
    <w:rsid w:val="005B4F32"/>
    <w:rsid w:val="005B50D4"/>
    <w:rsid w:val="005B51DB"/>
    <w:rsid w:val="005B5578"/>
    <w:rsid w:val="005B58DD"/>
    <w:rsid w:val="005B6375"/>
    <w:rsid w:val="005B64C3"/>
    <w:rsid w:val="005B65D9"/>
    <w:rsid w:val="005B673E"/>
    <w:rsid w:val="005B6896"/>
    <w:rsid w:val="005B6A1C"/>
    <w:rsid w:val="005B6D06"/>
    <w:rsid w:val="005B7797"/>
    <w:rsid w:val="005B7922"/>
    <w:rsid w:val="005B7F89"/>
    <w:rsid w:val="005C02C0"/>
    <w:rsid w:val="005C037A"/>
    <w:rsid w:val="005C0664"/>
    <w:rsid w:val="005C0770"/>
    <w:rsid w:val="005C125F"/>
    <w:rsid w:val="005C13A9"/>
    <w:rsid w:val="005C1A1E"/>
    <w:rsid w:val="005C1E7D"/>
    <w:rsid w:val="005C2193"/>
    <w:rsid w:val="005C2247"/>
    <w:rsid w:val="005C282F"/>
    <w:rsid w:val="005C296D"/>
    <w:rsid w:val="005C2DDF"/>
    <w:rsid w:val="005C2E38"/>
    <w:rsid w:val="005C2E3E"/>
    <w:rsid w:val="005C33D7"/>
    <w:rsid w:val="005C3841"/>
    <w:rsid w:val="005C38C5"/>
    <w:rsid w:val="005C3C93"/>
    <w:rsid w:val="005C3DC3"/>
    <w:rsid w:val="005C3FF6"/>
    <w:rsid w:val="005C40E5"/>
    <w:rsid w:val="005C4164"/>
    <w:rsid w:val="005C4190"/>
    <w:rsid w:val="005C4232"/>
    <w:rsid w:val="005C42C8"/>
    <w:rsid w:val="005C4436"/>
    <w:rsid w:val="005C44CB"/>
    <w:rsid w:val="005C4692"/>
    <w:rsid w:val="005C4700"/>
    <w:rsid w:val="005C47D4"/>
    <w:rsid w:val="005C48A2"/>
    <w:rsid w:val="005C4E0F"/>
    <w:rsid w:val="005C5314"/>
    <w:rsid w:val="005C54DB"/>
    <w:rsid w:val="005C57B1"/>
    <w:rsid w:val="005C5AF3"/>
    <w:rsid w:val="005C61BF"/>
    <w:rsid w:val="005C6320"/>
    <w:rsid w:val="005C651E"/>
    <w:rsid w:val="005C6541"/>
    <w:rsid w:val="005C6644"/>
    <w:rsid w:val="005C6BC4"/>
    <w:rsid w:val="005C6DDB"/>
    <w:rsid w:val="005C782B"/>
    <w:rsid w:val="005C7BCD"/>
    <w:rsid w:val="005D0879"/>
    <w:rsid w:val="005D0D25"/>
    <w:rsid w:val="005D0FA8"/>
    <w:rsid w:val="005D0FF2"/>
    <w:rsid w:val="005D1105"/>
    <w:rsid w:val="005D1160"/>
    <w:rsid w:val="005D147B"/>
    <w:rsid w:val="005D15C6"/>
    <w:rsid w:val="005D17B0"/>
    <w:rsid w:val="005D2083"/>
    <w:rsid w:val="005D2291"/>
    <w:rsid w:val="005D22D9"/>
    <w:rsid w:val="005D26A5"/>
    <w:rsid w:val="005D2712"/>
    <w:rsid w:val="005D2BC2"/>
    <w:rsid w:val="005D2E86"/>
    <w:rsid w:val="005D3095"/>
    <w:rsid w:val="005D32DC"/>
    <w:rsid w:val="005D330C"/>
    <w:rsid w:val="005D37A2"/>
    <w:rsid w:val="005D3B6D"/>
    <w:rsid w:val="005D41C3"/>
    <w:rsid w:val="005D438E"/>
    <w:rsid w:val="005D453D"/>
    <w:rsid w:val="005D45A5"/>
    <w:rsid w:val="005D47DB"/>
    <w:rsid w:val="005D489F"/>
    <w:rsid w:val="005D4D51"/>
    <w:rsid w:val="005D5010"/>
    <w:rsid w:val="005D506F"/>
    <w:rsid w:val="005D5E87"/>
    <w:rsid w:val="005D5F83"/>
    <w:rsid w:val="005D608B"/>
    <w:rsid w:val="005D67AB"/>
    <w:rsid w:val="005D6A53"/>
    <w:rsid w:val="005D6C81"/>
    <w:rsid w:val="005D7055"/>
    <w:rsid w:val="005D70B6"/>
    <w:rsid w:val="005D7468"/>
    <w:rsid w:val="005D75FF"/>
    <w:rsid w:val="005D7686"/>
    <w:rsid w:val="005D781E"/>
    <w:rsid w:val="005D790E"/>
    <w:rsid w:val="005D7B9B"/>
    <w:rsid w:val="005D7EFB"/>
    <w:rsid w:val="005D7F2B"/>
    <w:rsid w:val="005E0001"/>
    <w:rsid w:val="005E01AF"/>
    <w:rsid w:val="005E0617"/>
    <w:rsid w:val="005E09F2"/>
    <w:rsid w:val="005E0B69"/>
    <w:rsid w:val="005E0DFE"/>
    <w:rsid w:val="005E0F03"/>
    <w:rsid w:val="005E1259"/>
    <w:rsid w:val="005E1B32"/>
    <w:rsid w:val="005E1BE1"/>
    <w:rsid w:val="005E1C3C"/>
    <w:rsid w:val="005E1FED"/>
    <w:rsid w:val="005E21F5"/>
    <w:rsid w:val="005E21FA"/>
    <w:rsid w:val="005E227F"/>
    <w:rsid w:val="005E245B"/>
    <w:rsid w:val="005E25FC"/>
    <w:rsid w:val="005E2725"/>
    <w:rsid w:val="005E293A"/>
    <w:rsid w:val="005E2FF9"/>
    <w:rsid w:val="005E3583"/>
    <w:rsid w:val="005E35E9"/>
    <w:rsid w:val="005E377C"/>
    <w:rsid w:val="005E385C"/>
    <w:rsid w:val="005E4F5E"/>
    <w:rsid w:val="005E50F0"/>
    <w:rsid w:val="005E52E5"/>
    <w:rsid w:val="005E541C"/>
    <w:rsid w:val="005E57A8"/>
    <w:rsid w:val="005E5C3B"/>
    <w:rsid w:val="005E5D1D"/>
    <w:rsid w:val="005E6855"/>
    <w:rsid w:val="005E6C9E"/>
    <w:rsid w:val="005E6D7E"/>
    <w:rsid w:val="005E6D9F"/>
    <w:rsid w:val="005E7027"/>
    <w:rsid w:val="005E7105"/>
    <w:rsid w:val="005E7177"/>
    <w:rsid w:val="005E7314"/>
    <w:rsid w:val="005E7DCC"/>
    <w:rsid w:val="005E7E80"/>
    <w:rsid w:val="005F00F6"/>
    <w:rsid w:val="005F016C"/>
    <w:rsid w:val="005F0AFF"/>
    <w:rsid w:val="005F0CF6"/>
    <w:rsid w:val="005F0D21"/>
    <w:rsid w:val="005F1090"/>
    <w:rsid w:val="005F1475"/>
    <w:rsid w:val="005F1851"/>
    <w:rsid w:val="005F1A31"/>
    <w:rsid w:val="005F1E87"/>
    <w:rsid w:val="005F1FB3"/>
    <w:rsid w:val="005F1FBE"/>
    <w:rsid w:val="005F223C"/>
    <w:rsid w:val="005F2429"/>
    <w:rsid w:val="005F265E"/>
    <w:rsid w:val="005F279F"/>
    <w:rsid w:val="005F2DAC"/>
    <w:rsid w:val="005F2F71"/>
    <w:rsid w:val="005F2FCE"/>
    <w:rsid w:val="005F3513"/>
    <w:rsid w:val="005F37E7"/>
    <w:rsid w:val="005F3997"/>
    <w:rsid w:val="005F3C5C"/>
    <w:rsid w:val="005F3DFE"/>
    <w:rsid w:val="005F4677"/>
    <w:rsid w:val="005F5027"/>
    <w:rsid w:val="005F5725"/>
    <w:rsid w:val="005F583F"/>
    <w:rsid w:val="005F5913"/>
    <w:rsid w:val="005F5A01"/>
    <w:rsid w:val="005F5B93"/>
    <w:rsid w:val="005F6310"/>
    <w:rsid w:val="005F673F"/>
    <w:rsid w:val="005F6A8F"/>
    <w:rsid w:val="005F705A"/>
    <w:rsid w:val="005F7149"/>
    <w:rsid w:val="005F750E"/>
    <w:rsid w:val="005F7559"/>
    <w:rsid w:val="005F778E"/>
    <w:rsid w:val="005F785F"/>
    <w:rsid w:val="006000BC"/>
    <w:rsid w:val="006004E1"/>
    <w:rsid w:val="00600A2B"/>
    <w:rsid w:val="00600B33"/>
    <w:rsid w:val="00600CC6"/>
    <w:rsid w:val="00601230"/>
    <w:rsid w:val="006012CA"/>
    <w:rsid w:val="006015EC"/>
    <w:rsid w:val="00601E36"/>
    <w:rsid w:val="006022AE"/>
    <w:rsid w:val="0060233C"/>
    <w:rsid w:val="00602765"/>
    <w:rsid w:val="006029CA"/>
    <w:rsid w:val="00602B1C"/>
    <w:rsid w:val="00603174"/>
    <w:rsid w:val="006035B6"/>
    <w:rsid w:val="00603B02"/>
    <w:rsid w:val="00603C05"/>
    <w:rsid w:val="00603C4F"/>
    <w:rsid w:val="00603D8E"/>
    <w:rsid w:val="006044B6"/>
    <w:rsid w:val="00605538"/>
    <w:rsid w:val="00605716"/>
    <w:rsid w:val="00605A1D"/>
    <w:rsid w:val="00605CAC"/>
    <w:rsid w:val="00605CDF"/>
    <w:rsid w:val="00606853"/>
    <w:rsid w:val="00606BDA"/>
    <w:rsid w:val="00607002"/>
    <w:rsid w:val="0060700C"/>
    <w:rsid w:val="006076AD"/>
    <w:rsid w:val="00607F22"/>
    <w:rsid w:val="006100A8"/>
    <w:rsid w:val="006103B7"/>
    <w:rsid w:val="00610795"/>
    <w:rsid w:val="00610977"/>
    <w:rsid w:val="00610A76"/>
    <w:rsid w:val="00610EAD"/>
    <w:rsid w:val="00610FB9"/>
    <w:rsid w:val="006115FA"/>
    <w:rsid w:val="006116F3"/>
    <w:rsid w:val="0061175A"/>
    <w:rsid w:val="006118D0"/>
    <w:rsid w:val="00611AF2"/>
    <w:rsid w:val="00611B43"/>
    <w:rsid w:val="00612124"/>
    <w:rsid w:val="00612396"/>
    <w:rsid w:val="006124C9"/>
    <w:rsid w:val="006125A4"/>
    <w:rsid w:val="006129E5"/>
    <w:rsid w:val="00613504"/>
    <w:rsid w:val="00613509"/>
    <w:rsid w:val="0061397F"/>
    <w:rsid w:val="00613F63"/>
    <w:rsid w:val="00614C48"/>
    <w:rsid w:val="006151D1"/>
    <w:rsid w:val="006151E3"/>
    <w:rsid w:val="00615526"/>
    <w:rsid w:val="0061570D"/>
    <w:rsid w:val="006159BE"/>
    <w:rsid w:val="00615C01"/>
    <w:rsid w:val="00615E63"/>
    <w:rsid w:val="006162C9"/>
    <w:rsid w:val="006163B1"/>
    <w:rsid w:val="006164E4"/>
    <w:rsid w:val="00616641"/>
    <w:rsid w:val="00616ADE"/>
    <w:rsid w:val="00616EC8"/>
    <w:rsid w:val="006177CA"/>
    <w:rsid w:val="00617B20"/>
    <w:rsid w:val="00617EF3"/>
    <w:rsid w:val="00617F11"/>
    <w:rsid w:val="00620176"/>
    <w:rsid w:val="006205C7"/>
    <w:rsid w:val="006205EE"/>
    <w:rsid w:val="00620EA6"/>
    <w:rsid w:val="00621091"/>
    <w:rsid w:val="006210E6"/>
    <w:rsid w:val="0062162D"/>
    <w:rsid w:val="00621904"/>
    <w:rsid w:val="00622372"/>
    <w:rsid w:val="006225EE"/>
    <w:rsid w:val="00622645"/>
    <w:rsid w:val="00622B16"/>
    <w:rsid w:val="00622FC1"/>
    <w:rsid w:val="00623103"/>
    <w:rsid w:val="006232E6"/>
    <w:rsid w:val="0062341D"/>
    <w:rsid w:val="00623F54"/>
    <w:rsid w:val="00624574"/>
    <w:rsid w:val="00624A5F"/>
    <w:rsid w:val="00624B12"/>
    <w:rsid w:val="00624DE5"/>
    <w:rsid w:val="00624EF2"/>
    <w:rsid w:val="006250AD"/>
    <w:rsid w:val="006252CD"/>
    <w:rsid w:val="00625432"/>
    <w:rsid w:val="0062556F"/>
    <w:rsid w:val="006259FF"/>
    <w:rsid w:val="00625E93"/>
    <w:rsid w:val="00625FDA"/>
    <w:rsid w:val="006260AD"/>
    <w:rsid w:val="00626151"/>
    <w:rsid w:val="006267A3"/>
    <w:rsid w:val="00626821"/>
    <w:rsid w:val="0062714F"/>
    <w:rsid w:val="006273D7"/>
    <w:rsid w:val="00627873"/>
    <w:rsid w:val="00627F9D"/>
    <w:rsid w:val="00630251"/>
    <w:rsid w:val="00630557"/>
    <w:rsid w:val="006307CD"/>
    <w:rsid w:val="006308ED"/>
    <w:rsid w:val="00630920"/>
    <w:rsid w:val="00630C16"/>
    <w:rsid w:val="00630CC7"/>
    <w:rsid w:val="00630E35"/>
    <w:rsid w:val="00630F1B"/>
    <w:rsid w:val="00631734"/>
    <w:rsid w:val="0063174C"/>
    <w:rsid w:val="006318EF"/>
    <w:rsid w:val="00631984"/>
    <w:rsid w:val="00631AFE"/>
    <w:rsid w:val="006322F0"/>
    <w:rsid w:val="00632AD8"/>
    <w:rsid w:val="00633105"/>
    <w:rsid w:val="00633379"/>
    <w:rsid w:val="006335A6"/>
    <w:rsid w:val="006335F0"/>
    <w:rsid w:val="00633AC7"/>
    <w:rsid w:val="0063400C"/>
    <w:rsid w:val="00634389"/>
    <w:rsid w:val="006346AC"/>
    <w:rsid w:val="006348A9"/>
    <w:rsid w:val="00634AEE"/>
    <w:rsid w:val="00634C5A"/>
    <w:rsid w:val="00634EF7"/>
    <w:rsid w:val="006356C0"/>
    <w:rsid w:val="00635724"/>
    <w:rsid w:val="00635771"/>
    <w:rsid w:val="006358F1"/>
    <w:rsid w:val="006360F4"/>
    <w:rsid w:val="006361C6"/>
    <w:rsid w:val="006369B2"/>
    <w:rsid w:val="00636EA5"/>
    <w:rsid w:val="0063742B"/>
    <w:rsid w:val="00637685"/>
    <w:rsid w:val="00637C2F"/>
    <w:rsid w:val="00637EEC"/>
    <w:rsid w:val="00640411"/>
    <w:rsid w:val="00640817"/>
    <w:rsid w:val="0064089D"/>
    <w:rsid w:val="006409EF"/>
    <w:rsid w:val="00640AB9"/>
    <w:rsid w:val="00640AC7"/>
    <w:rsid w:val="00640CBD"/>
    <w:rsid w:val="00640F72"/>
    <w:rsid w:val="00640F9C"/>
    <w:rsid w:val="00641018"/>
    <w:rsid w:val="00641042"/>
    <w:rsid w:val="00641109"/>
    <w:rsid w:val="00641563"/>
    <w:rsid w:val="006416C0"/>
    <w:rsid w:val="006417C7"/>
    <w:rsid w:val="00641967"/>
    <w:rsid w:val="00641A73"/>
    <w:rsid w:val="00641DE3"/>
    <w:rsid w:val="00642106"/>
    <w:rsid w:val="00642140"/>
    <w:rsid w:val="006426FE"/>
    <w:rsid w:val="00642D39"/>
    <w:rsid w:val="00642DA0"/>
    <w:rsid w:val="00642F03"/>
    <w:rsid w:val="0064311B"/>
    <w:rsid w:val="00643253"/>
    <w:rsid w:val="00643286"/>
    <w:rsid w:val="006432FD"/>
    <w:rsid w:val="00643BF0"/>
    <w:rsid w:val="00643D52"/>
    <w:rsid w:val="006441DE"/>
    <w:rsid w:val="00644204"/>
    <w:rsid w:val="0064513A"/>
    <w:rsid w:val="006451A9"/>
    <w:rsid w:val="00645BC3"/>
    <w:rsid w:val="00645C22"/>
    <w:rsid w:val="00645E77"/>
    <w:rsid w:val="006461B2"/>
    <w:rsid w:val="00646860"/>
    <w:rsid w:val="0064693E"/>
    <w:rsid w:val="00646F9B"/>
    <w:rsid w:val="006470B5"/>
    <w:rsid w:val="006474BA"/>
    <w:rsid w:val="006477CB"/>
    <w:rsid w:val="00647AC2"/>
    <w:rsid w:val="00647CF0"/>
    <w:rsid w:val="00650423"/>
    <w:rsid w:val="006506EE"/>
    <w:rsid w:val="006508C6"/>
    <w:rsid w:val="00651010"/>
    <w:rsid w:val="0065107A"/>
    <w:rsid w:val="0065157F"/>
    <w:rsid w:val="00651BA3"/>
    <w:rsid w:val="00652007"/>
    <w:rsid w:val="00652118"/>
    <w:rsid w:val="00652E9B"/>
    <w:rsid w:val="00653012"/>
    <w:rsid w:val="00653379"/>
    <w:rsid w:val="006533DE"/>
    <w:rsid w:val="006535AE"/>
    <w:rsid w:val="0065366B"/>
    <w:rsid w:val="00653A39"/>
    <w:rsid w:val="00653BAA"/>
    <w:rsid w:val="00653F84"/>
    <w:rsid w:val="006540E8"/>
    <w:rsid w:val="0065432D"/>
    <w:rsid w:val="0065442E"/>
    <w:rsid w:val="006545DD"/>
    <w:rsid w:val="0065497F"/>
    <w:rsid w:val="006549E4"/>
    <w:rsid w:val="00654A56"/>
    <w:rsid w:val="00654B77"/>
    <w:rsid w:val="006552DE"/>
    <w:rsid w:val="006555ED"/>
    <w:rsid w:val="006558EB"/>
    <w:rsid w:val="00655C03"/>
    <w:rsid w:val="00655C12"/>
    <w:rsid w:val="00655D53"/>
    <w:rsid w:val="00655E27"/>
    <w:rsid w:val="00655E83"/>
    <w:rsid w:val="006560BE"/>
    <w:rsid w:val="00656164"/>
    <w:rsid w:val="0065620F"/>
    <w:rsid w:val="00656219"/>
    <w:rsid w:val="006564FD"/>
    <w:rsid w:val="006565DD"/>
    <w:rsid w:val="00656982"/>
    <w:rsid w:val="00656A1C"/>
    <w:rsid w:val="00656AA3"/>
    <w:rsid w:val="00656B54"/>
    <w:rsid w:val="00656FDD"/>
    <w:rsid w:val="0065733B"/>
    <w:rsid w:val="00657496"/>
    <w:rsid w:val="00657560"/>
    <w:rsid w:val="00657673"/>
    <w:rsid w:val="00657678"/>
    <w:rsid w:val="00657BBC"/>
    <w:rsid w:val="00657E46"/>
    <w:rsid w:val="00657E6A"/>
    <w:rsid w:val="00657EEC"/>
    <w:rsid w:val="006604FB"/>
    <w:rsid w:val="006606F7"/>
    <w:rsid w:val="00660766"/>
    <w:rsid w:val="00660A05"/>
    <w:rsid w:val="00660A49"/>
    <w:rsid w:val="0066105D"/>
    <w:rsid w:val="006614FB"/>
    <w:rsid w:val="006616A6"/>
    <w:rsid w:val="00661FF0"/>
    <w:rsid w:val="0066207F"/>
    <w:rsid w:val="00662137"/>
    <w:rsid w:val="00662374"/>
    <w:rsid w:val="006626FF"/>
    <w:rsid w:val="00662E5E"/>
    <w:rsid w:val="00662F55"/>
    <w:rsid w:val="00663010"/>
    <w:rsid w:val="00663284"/>
    <w:rsid w:val="006632DC"/>
    <w:rsid w:val="00663889"/>
    <w:rsid w:val="00663ACD"/>
    <w:rsid w:val="00663D0A"/>
    <w:rsid w:val="00663D7D"/>
    <w:rsid w:val="00663E1D"/>
    <w:rsid w:val="006642B4"/>
    <w:rsid w:val="00664607"/>
    <w:rsid w:val="00664751"/>
    <w:rsid w:val="00664834"/>
    <w:rsid w:val="00664842"/>
    <w:rsid w:val="0066490B"/>
    <w:rsid w:val="0066492E"/>
    <w:rsid w:val="00664C15"/>
    <w:rsid w:val="00665081"/>
    <w:rsid w:val="006651E8"/>
    <w:rsid w:val="006653D0"/>
    <w:rsid w:val="006654F9"/>
    <w:rsid w:val="0066550C"/>
    <w:rsid w:val="00665532"/>
    <w:rsid w:val="006661F0"/>
    <w:rsid w:val="006665C1"/>
    <w:rsid w:val="006668EE"/>
    <w:rsid w:val="00666950"/>
    <w:rsid w:val="00666ACD"/>
    <w:rsid w:val="00666ADE"/>
    <w:rsid w:val="006671A4"/>
    <w:rsid w:val="00667382"/>
    <w:rsid w:val="0066782B"/>
    <w:rsid w:val="00667A86"/>
    <w:rsid w:val="0067007D"/>
    <w:rsid w:val="0067048E"/>
    <w:rsid w:val="00670515"/>
    <w:rsid w:val="0067054F"/>
    <w:rsid w:val="0067087A"/>
    <w:rsid w:val="006709B5"/>
    <w:rsid w:val="00670F7F"/>
    <w:rsid w:val="006712DA"/>
    <w:rsid w:val="00671BF0"/>
    <w:rsid w:val="00671C39"/>
    <w:rsid w:val="00671D42"/>
    <w:rsid w:val="00671E8B"/>
    <w:rsid w:val="00671FD7"/>
    <w:rsid w:val="00672158"/>
    <w:rsid w:val="006722EF"/>
    <w:rsid w:val="00672605"/>
    <w:rsid w:val="006732E4"/>
    <w:rsid w:val="006737EC"/>
    <w:rsid w:val="0067392E"/>
    <w:rsid w:val="006739F0"/>
    <w:rsid w:val="00673A36"/>
    <w:rsid w:val="0067414B"/>
    <w:rsid w:val="006748BD"/>
    <w:rsid w:val="006748DC"/>
    <w:rsid w:val="00674BF8"/>
    <w:rsid w:val="00674F20"/>
    <w:rsid w:val="00674F7F"/>
    <w:rsid w:val="0067543B"/>
    <w:rsid w:val="006757DB"/>
    <w:rsid w:val="00675CB1"/>
    <w:rsid w:val="00675CC2"/>
    <w:rsid w:val="00675CF8"/>
    <w:rsid w:val="0067612A"/>
    <w:rsid w:val="00676131"/>
    <w:rsid w:val="00676167"/>
    <w:rsid w:val="0067637A"/>
    <w:rsid w:val="006765B7"/>
    <w:rsid w:val="0067691C"/>
    <w:rsid w:val="00676950"/>
    <w:rsid w:val="00676D26"/>
    <w:rsid w:val="00676E63"/>
    <w:rsid w:val="00676FB6"/>
    <w:rsid w:val="006771B6"/>
    <w:rsid w:val="006771F0"/>
    <w:rsid w:val="00677CDD"/>
    <w:rsid w:val="006808A9"/>
    <w:rsid w:val="00680A3F"/>
    <w:rsid w:val="0068101B"/>
    <w:rsid w:val="006814FA"/>
    <w:rsid w:val="006815AA"/>
    <w:rsid w:val="0068188F"/>
    <w:rsid w:val="00681B2B"/>
    <w:rsid w:val="00681B62"/>
    <w:rsid w:val="00681CE6"/>
    <w:rsid w:val="00682925"/>
    <w:rsid w:val="00682932"/>
    <w:rsid w:val="00682AA8"/>
    <w:rsid w:val="00682DFA"/>
    <w:rsid w:val="00682EA7"/>
    <w:rsid w:val="00683128"/>
    <w:rsid w:val="006838A0"/>
    <w:rsid w:val="0068392D"/>
    <w:rsid w:val="00683A19"/>
    <w:rsid w:val="00683A46"/>
    <w:rsid w:val="00683B08"/>
    <w:rsid w:val="00683EC8"/>
    <w:rsid w:val="006844CE"/>
    <w:rsid w:val="00684541"/>
    <w:rsid w:val="0068488C"/>
    <w:rsid w:val="00684C4B"/>
    <w:rsid w:val="00684DCD"/>
    <w:rsid w:val="00684DF4"/>
    <w:rsid w:val="00684ED1"/>
    <w:rsid w:val="00685396"/>
    <w:rsid w:val="0068542A"/>
    <w:rsid w:val="00685726"/>
    <w:rsid w:val="00685913"/>
    <w:rsid w:val="00685943"/>
    <w:rsid w:val="00685A7B"/>
    <w:rsid w:val="00685C7B"/>
    <w:rsid w:val="00685E03"/>
    <w:rsid w:val="00686089"/>
    <w:rsid w:val="006860E9"/>
    <w:rsid w:val="00686186"/>
    <w:rsid w:val="00686526"/>
    <w:rsid w:val="006868CB"/>
    <w:rsid w:val="00686941"/>
    <w:rsid w:val="00686CC0"/>
    <w:rsid w:val="0068786C"/>
    <w:rsid w:val="00687A9F"/>
    <w:rsid w:val="00687C37"/>
    <w:rsid w:val="00687E01"/>
    <w:rsid w:val="006902C3"/>
    <w:rsid w:val="006904C1"/>
    <w:rsid w:val="00690974"/>
    <w:rsid w:val="00691173"/>
    <w:rsid w:val="00691593"/>
    <w:rsid w:val="0069176F"/>
    <w:rsid w:val="00691840"/>
    <w:rsid w:val="00691A07"/>
    <w:rsid w:val="00691D12"/>
    <w:rsid w:val="00691D2A"/>
    <w:rsid w:val="00692068"/>
    <w:rsid w:val="00692316"/>
    <w:rsid w:val="006929E1"/>
    <w:rsid w:val="00692C48"/>
    <w:rsid w:val="00692FC2"/>
    <w:rsid w:val="00693099"/>
    <w:rsid w:val="00693582"/>
    <w:rsid w:val="00693A72"/>
    <w:rsid w:val="00693A96"/>
    <w:rsid w:val="006941A5"/>
    <w:rsid w:val="0069441B"/>
    <w:rsid w:val="0069446A"/>
    <w:rsid w:val="006949E4"/>
    <w:rsid w:val="00694A24"/>
    <w:rsid w:val="00694BE3"/>
    <w:rsid w:val="00694C8D"/>
    <w:rsid w:val="00694DE3"/>
    <w:rsid w:val="00694EE8"/>
    <w:rsid w:val="006950BE"/>
    <w:rsid w:val="0069547B"/>
    <w:rsid w:val="006955A6"/>
    <w:rsid w:val="00695B4D"/>
    <w:rsid w:val="00695CE9"/>
    <w:rsid w:val="006965AB"/>
    <w:rsid w:val="006966BA"/>
    <w:rsid w:val="0069678C"/>
    <w:rsid w:val="006968C8"/>
    <w:rsid w:val="0069692E"/>
    <w:rsid w:val="00696A90"/>
    <w:rsid w:val="006970CA"/>
    <w:rsid w:val="00697605"/>
    <w:rsid w:val="006979B8"/>
    <w:rsid w:val="006979F4"/>
    <w:rsid w:val="00697BB5"/>
    <w:rsid w:val="00697CE4"/>
    <w:rsid w:val="006A00F1"/>
    <w:rsid w:val="006A00F9"/>
    <w:rsid w:val="006A024E"/>
    <w:rsid w:val="006A0428"/>
    <w:rsid w:val="006A061C"/>
    <w:rsid w:val="006A0E18"/>
    <w:rsid w:val="006A1125"/>
    <w:rsid w:val="006A14A3"/>
    <w:rsid w:val="006A1730"/>
    <w:rsid w:val="006A17B2"/>
    <w:rsid w:val="006A17C4"/>
    <w:rsid w:val="006A1AA3"/>
    <w:rsid w:val="006A1BFA"/>
    <w:rsid w:val="006A1C58"/>
    <w:rsid w:val="006A1E76"/>
    <w:rsid w:val="006A241F"/>
    <w:rsid w:val="006A280D"/>
    <w:rsid w:val="006A28A1"/>
    <w:rsid w:val="006A2937"/>
    <w:rsid w:val="006A2BDF"/>
    <w:rsid w:val="006A2F69"/>
    <w:rsid w:val="006A3208"/>
    <w:rsid w:val="006A33F3"/>
    <w:rsid w:val="006A3A3D"/>
    <w:rsid w:val="006A4196"/>
    <w:rsid w:val="006A4391"/>
    <w:rsid w:val="006A4473"/>
    <w:rsid w:val="006A46EC"/>
    <w:rsid w:val="006A4903"/>
    <w:rsid w:val="006A4BF5"/>
    <w:rsid w:val="006A4F5A"/>
    <w:rsid w:val="006A5859"/>
    <w:rsid w:val="006A5902"/>
    <w:rsid w:val="006A5963"/>
    <w:rsid w:val="006A620C"/>
    <w:rsid w:val="006A6999"/>
    <w:rsid w:val="006A6D78"/>
    <w:rsid w:val="006A6DE5"/>
    <w:rsid w:val="006A6F07"/>
    <w:rsid w:val="006A7587"/>
    <w:rsid w:val="006A7B87"/>
    <w:rsid w:val="006A7DC0"/>
    <w:rsid w:val="006A7EE3"/>
    <w:rsid w:val="006B05B3"/>
    <w:rsid w:val="006B077E"/>
    <w:rsid w:val="006B082C"/>
    <w:rsid w:val="006B094A"/>
    <w:rsid w:val="006B098B"/>
    <w:rsid w:val="006B0AE8"/>
    <w:rsid w:val="006B100A"/>
    <w:rsid w:val="006B1066"/>
    <w:rsid w:val="006B1504"/>
    <w:rsid w:val="006B16BB"/>
    <w:rsid w:val="006B1A05"/>
    <w:rsid w:val="006B1A84"/>
    <w:rsid w:val="006B1E11"/>
    <w:rsid w:val="006B1FF9"/>
    <w:rsid w:val="006B228B"/>
    <w:rsid w:val="006B2470"/>
    <w:rsid w:val="006B2EC2"/>
    <w:rsid w:val="006B2F7E"/>
    <w:rsid w:val="006B3211"/>
    <w:rsid w:val="006B3242"/>
    <w:rsid w:val="006B329C"/>
    <w:rsid w:val="006B3AB1"/>
    <w:rsid w:val="006B3E3F"/>
    <w:rsid w:val="006B4367"/>
    <w:rsid w:val="006B47CC"/>
    <w:rsid w:val="006B4911"/>
    <w:rsid w:val="006B4EF5"/>
    <w:rsid w:val="006B5674"/>
    <w:rsid w:val="006B5DBF"/>
    <w:rsid w:val="006B5DF1"/>
    <w:rsid w:val="006B612B"/>
    <w:rsid w:val="006B64A2"/>
    <w:rsid w:val="006B6787"/>
    <w:rsid w:val="006B68FF"/>
    <w:rsid w:val="006B6981"/>
    <w:rsid w:val="006B6C1F"/>
    <w:rsid w:val="006B6CF8"/>
    <w:rsid w:val="006B6DAF"/>
    <w:rsid w:val="006B7DA0"/>
    <w:rsid w:val="006C0049"/>
    <w:rsid w:val="006C00E9"/>
    <w:rsid w:val="006C0332"/>
    <w:rsid w:val="006C04D1"/>
    <w:rsid w:val="006C06B7"/>
    <w:rsid w:val="006C06B9"/>
    <w:rsid w:val="006C0776"/>
    <w:rsid w:val="006C07B6"/>
    <w:rsid w:val="006C0FB0"/>
    <w:rsid w:val="006C111F"/>
    <w:rsid w:val="006C1156"/>
    <w:rsid w:val="006C11AD"/>
    <w:rsid w:val="006C2244"/>
    <w:rsid w:val="006C25C7"/>
    <w:rsid w:val="006C282A"/>
    <w:rsid w:val="006C2944"/>
    <w:rsid w:val="006C2A7A"/>
    <w:rsid w:val="006C3CFE"/>
    <w:rsid w:val="006C4427"/>
    <w:rsid w:val="006C450B"/>
    <w:rsid w:val="006C4677"/>
    <w:rsid w:val="006C4767"/>
    <w:rsid w:val="006C4775"/>
    <w:rsid w:val="006C4876"/>
    <w:rsid w:val="006C4CF4"/>
    <w:rsid w:val="006C4FA0"/>
    <w:rsid w:val="006C5265"/>
    <w:rsid w:val="006C534F"/>
    <w:rsid w:val="006C5671"/>
    <w:rsid w:val="006C5AA2"/>
    <w:rsid w:val="006C5C6F"/>
    <w:rsid w:val="006C5D11"/>
    <w:rsid w:val="006C6112"/>
    <w:rsid w:val="006C656B"/>
    <w:rsid w:val="006C6C82"/>
    <w:rsid w:val="006C6FBC"/>
    <w:rsid w:val="006C73D3"/>
    <w:rsid w:val="006C7541"/>
    <w:rsid w:val="006C788F"/>
    <w:rsid w:val="006C791F"/>
    <w:rsid w:val="006C7A21"/>
    <w:rsid w:val="006C7B00"/>
    <w:rsid w:val="006D019C"/>
    <w:rsid w:val="006D06A6"/>
    <w:rsid w:val="006D0948"/>
    <w:rsid w:val="006D0B43"/>
    <w:rsid w:val="006D0E7E"/>
    <w:rsid w:val="006D10D1"/>
    <w:rsid w:val="006D160C"/>
    <w:rsid w:val="006D167B"/>
    <w:rsid w:val="006D1910"/>
    <w:rsid w:val="006D1968"/>
    <w:rsid w:val="006D1997"/>
    <w:rsid w:val="006D1A50"/>
    <w:rsid w:val="006D1CD9"/>
    <w:rsid w:val="006D1D16"/>
    <w:rsid w:val="006D1E56"/>
    <w:rsid w:val="006D202E"/>
    <w:rsid w:val="006D246C"/>
    <w:rsid w:val="006D24CA"/>
    <w:rsid w:val="006D277E"/>
    <w:rsid w:val="006D27CC"/>
    <w:rsid w:val="006D2958"/>
    <w:rsid w:val="006D2CAA"/>
    <w:rsid w:val="006D30F8"/>
    <w:rsid w:val="006D315F"/>
    <w:rsid w:val="006D3294"/>
    <w:rsid w:val="006D336F"/>
    <w:rsid w:val="006D3383"/>
    <w:rsid w:val="006D3BCA"/>
    <w:rsid w:val="006D3D87"/>
    <w:rsid w:val="006D3F2A"/>
    <w:rsid w:val="006D4050"/>
    <w:rsid w:val="006D40BE"/>
    <w:rsid w:val="006D43D2"/>
    <w:rsid w:val="006D4574"/>
    <w:rsid w:val="006D46F8"/>
    <w:rsid w:val="006D49E1"/>
    <w:rsid w:val="006D4AE1"/>
    <w:rsid w:val="006D4CF1"/>
    <w:rsid w:val="006D4DBD"/>
    <w:rsid w:val="006D5738"/>
    <w:rsid w:val="006D594B"/>
    <w:rsid w:val="006D5AB3"/>
    <w:rsid w:val="006D5AFC"/>
    <w:rsid w:val="006D5F4A"/>
    <w:rsid w:val="006D5FB2"/>
    <w:rsid w:val="006D602E"/>
    <w:rsid w:val="006D6408"/>
    <w:rsid w:val="006D663A"/>
    <w:rsid w:val="006D6C62"/>
    <w:rsid w:val="006D6FC7"/>
    <w:rsid w:val="006D7069"/>
    <w:rsid w:val="006D7424"/>
    <w:rsid w:val="006D7438"/>
    <w:rsid w:val="006D79C5"/>
    <w:rsid w:val="006D7AE5"/>
    <w:rsid w:val="006D7BD8"/>
    <w:rsid w:val="006D7BDE"/>
    <w:rsid w:val="006E0327"/>
    <w:rsid w:val="006E0600"/>
    <w:rsid w:val="006E0A3A"/>
    <w:rsid w:val="006E0C6D"/>
    <w:rsid w:val="006E0E67"/>
    <w:rsid w:val="006E111D"/>
    <w:rsid w:val="006E1259"/>
    <w:rsid w:val="006E1675"/>
    <w:rsid w:val="006E1B7A"/>
    <w:rsid w:val="006E1C91"/>
    <w:rsid w:val="006E21EA"/>
    <w:rsid w:val="006E2491"/>
    <w:rsid w:val="006E24A8"/>
    <w:rsid w:val="006E26E2"/>
    <w:rsid w:val="006E2936"/>
    <w:rsid w:val="006E2E9B"/>
    <w:rsid w:val="006E2F6B"/>
    <w:rsid w:val="006E341B"/>
    <w:rsid w:val="006E3542"/>
    <w:rsid w:val="006E3590"/>
    <w:rsid w:val="006E3846"/>
    <w:rsid w:val="006E38EB"/>
    <w:rsid w:val="006E3A4F"/>
    <w:rsid w:val="006E3AF6"/>
    <w:rsid w:val="006E3D67"/>
    <w:rsid w:val="006E3F6E"/>
    <w:rsid w:val="006E40CA"/>
    <w:rsid w:val="006E446B"/>
    <w:rsid w:val="006E44D7"/>
    <w:rsid w:val="006E453B"/>
    <w:rsid w:val="006E45B7"/>
    <w:rsid w:val="006E5028"/>
    <w:rsid w:val="006E52C8"/>
    <w:rsid w:val="006E5609"/>
    <w:rsid w:val="006E5683"/>
    <w:rsid w:val="006E650F"/>
    <w:rsid w:val="006E65FF"/>
    <w:rsid w:val="006E679D"/>
    <w:rsid w:val="006E6BE6"/>
    <w:rsid w:val="006E6F78"/>
    <w:rsid w:val="006E737A"/>
    <w:rsid w:val="006E7406"/>
    <w:rsid w:val="006E750B"/>
    <w:rsid w:val="006E7835"/>
    <w:rsid w:val="006E79FD"/>
    <w:rsid w:val="006E7AA5"/>
    <w:rsid w:val="006E7ACD"/>
    <w:rsid w:val="006E7BFF"/>
    <w:rsid w:val="006E7C90"/>
    <w:rsid w:val="006F017D"/>
    <w:rsid w:val="006F07A3"/>
    <w:rsid w:val="006F088C"/>
    <w:rsid w:val="006F0969"/>
    <w:rsid w:val="006F09C6"/>
    <w:rsid w:val="006F0C08"/>
    <w:rsid w:val="006F15F7"/>
    <w:rsid w:val="006F169A"/>
    <w:rsid w:val="006F18B9"/>
    <w:rsid w:val="006F190E"/>
    <w:rsid w:val="006F1C32"/>
    <w:rsid w:val="006F1FC6"/>
    <w:rsid w:val="006F1FF5"/>
    <w:rsid w:val="006F2090"/>
    <w:rsid w:val="006F2401"/>
    <w:rsid w:val="006F25A4"/>
    <w:rsid w:val="006F298E"/>
    <w:rsid w:val="006F2FDB"/>
    <w:rsid w:val="006F3061"/>
    <w:rsid w:val="006F372B"/>
    <w:rsid w:val="006F3F7E"/>
    <w:rsid w:val="006F4097"/>
    <w:rsid w:val="006F4376"/>
    <w:rsid w:val="006F4696"/>
    <w:rsid w:val="006F4B63"/>
    <w:rsid w:val="006F4C4C"/>
    <w:rsid w:val="006F4D54"/>
    <w:rsid w:val="006F4E55"/>
    <w:rsid w:val="006F4FFB"/>
    <w:rsid w:val="006F50A6"/>
    <w:rsid w:val="006F56F8"/>
    <w:rsid w:val="006F5C1A"/>
    <w:rsid w:val="006F65BE"/>
    <w:rsid w:val="006F686B"/>
    <w:rsid w:val="006F690C"/>
    <w:rsid w:val="006F692E"/>
    <w:rsid w:val="006F69ED"/>
    <w:rsid w:val="006F6D0A"/>
    <w:rsid w:val="006F705F"/>
    <w:rsid w:val="006F7261"/>
    <w:rsid w:val="006F7854"/>
    <w:rsid w:val="006F791E"/>
    <w:rsid w:val="006F7AAC"/>
    <w:rsid w:val="006F7AB6"/>
    <w:rsid w:val="007005A0"/>
    <w:rsid w:val="0070081C"/>
    <w:rsid w:val="00700C43"/>
    <w:rsid w:val="00701074"/>
    <w:rsid w:val="0070116E"/>
    <w:rsid w:val="0070178E"/>
    <w:rsid w:val="00701865"/>
    <w:rsid w:val="007019F9"/>
    <w:rsid w:val="00701FFB"/>
    <w:rsid w:val="0070246E"/>
    <w:rsid w:val="0070263B"/>
    <w:rsid w:val="00702826"/>
    <w:rsid w:val="00702B5C"/>
    <w:rsid w:val="00702DAB"/>
    <w:rsid w:val="00702EB5"/>
    <w:rsid w:val="00702EFD"/>
    <w:rsid w:val="007033ED"/>
    <w:rsid w:val="00703538"/>
    <w:rsid w:val="0070364B"/>
    <w:rsid w:val="00703FBE"/>
    <w:rsid w:val="0070402D"/>
    <w:rsid w:val="007042A7"/>
    <w:rsid w:val="00704AD4"/>
    <w:rsid w:val="00704D31"/>
    <w:rsid w:val="007050BB"/>
    <w:rsid w:val="00705553"/>
    <w:rsid w:val="007058F4"/>
    <w:rsid w:val="0070593B"/>
    <w:rsid w:val="00705B50"/>
    <w:rsid w:val="00706399"/>
    <w:rsid w:val="007063D6"/>
    <w:rsid w:val="0070692F"/>
    <w:rsid w:val="00706BCA"/>
    <w:rsid w:val="00706CDB"/>
    <w:rsid w:val="00706E32"/>
    <w:rsid w:val="00707373"/>
    <w:rsid w:val="007073BE"/>
    <w:rsid w:val="00707506"/>
    <w:rsid w:val="00707698"/>
    <w:rsid w:val="0070773E"/>
    <w:rsid w:val="007078EA"/>
    <w:rsid w:val="00707F56"/>
    <w:rsid w:val="0071008C"/>
    <w:rsid w:val="00710402"/>
    <w:rsid w:val="00710E11"/>
    <w:rsid w:val="00710F5B"/>
    <w:rsid w:val="00711324"/>
    <w:rsid w:val="007115FD"/>
    <w:rsid w:val="0071164D"/>
    <w:rsid w:val="0071184A"/>
    <w:rsid w:val="007118F3"/>
    <w:rsid w:val="007119F1"/>
    <w:rsid w:val="00711A10"/>
    <w:rsid w:val="00711F1E"/>
    <w:rsid w:val="007121D0"/>
    <w:rsid w:val="00712438"/>
    <w:rsid w:val="00712D30"/>
    <w:rsid w:val="0071300D"/>
    <w:rsid w:val="007131B7"/>
    <w:rsid w:val="00713207"/>
    <w:rsid w:val="00713322"/>
    <w:rsid w:val="007134D8"/>
    <w:rsid w:val="00713845"/>
    <w:rsid w:val="00713A38"/>
    <w:rsid w:val="00713CC3"/>
    <w:rsid w:val="00713DFB"/>
    <w:rsid w:val="00713E3E"/>
    <w:rsid w:val="00713F66"/>
    <w:rsid w:val="007142DE"/>
    <w:rsid w:val="00714478"/>
    <w:rsid w:val="00714695"/>
    <w:rsid w:val="00714876"/>
    <w:rsid w:val="00714A42"/>
    <w:rsid w:val="00714CDA"/>
    <w:rsid w:val="0071540A"/>
    <w:rsid w:val="007156D6"/>
    <w:rsid w:val="00715A53"/>
    <w:rsid w:val="00715D0C"/>
    <w:rsid w:val="00715DB4"/>
    <w:rsid w:val="007161C5"/>
    <w:rsid w:val="007167C2"/>
    <w:rsid w:val="007168A1"/>
    <w:rsid w:val="007168F2"/>
    <w:rsid w:val="00716AB0"/>
    <w:rsid w:val="00716EC5"/>
    <w:rsid w:val="00716FD7"/>
    <w:rsid w:val="007171A3"/>
    <w:rsid w:val="00717370"/>
    <w:rsid w:val="0071746D"/>
    <w:rsid w:val="00717506"/>
    <w:rsid w:val="00717973"/>
    <w:rsid w:val="00717B53"/>
    <w:rsid w:val="0072088B"/>
    <w:rsid w:val="00720D9A"/>
    <w:rsid w:val="00721013"/>
    <w:rsid w:val="00721606"/>
    <w:rsid w:val="00721792"/>
    <w:rsid w:val="00721940"/>
    <w:rsid w:val="00721DEF"/>
    <w:rsid w:val="007221FE"/>
    <w:rsid w:val="007225EF"/>
    <w:rsid w:val="0072260C"/>
    <w:rsid w:val="007227FA"/>
    <w:rsid w:val="00722990"/>
    <w:rsid w:val="007229B9"/>
    <w:rsid w:val="00722EE0"/>
    <w:rsid w:val="00722EF6"/>
    <w:rsid w:val="00723176"/>
    <w:rsid w:val="00723247"/>
    <w:rsid w:val="0072334D"/>
    <w:rsid w:val="007234FD"/>
    <w:rsid w:val="0072361B"/>
    <w:rsid w:val="00723B4D"/>
    <w:rsid w:val="00723B8A"/>
    <w:rsid w:val="00723B9B"/>
    <w:rsid w:val="00723EF3"/>
    <w:rsid w:val="00724266"/>
    <w:rsid w:val="00724525"/>
    <w:rsid w:val="00724ABC"/>
    <w:rsid w:val="00724F28"/>
    <w:rsid w:val="00725277"/>
    <w:rsid w:val="00725669"/>
    <w:rsid w:val="00725D61"/>
    <w:rsid w:val="007268B6"/>
    <w:rsid w:val="00726CE6"/>
    <w:rsid w:val="00726DEE"/>
    <w:rsid w:val="007270D7"/>
    <w:rsid w:val="0072752A"/>
    <w:rsid w:val="0072779D"/>
    <w:rsid w:val="00727B7A"/>
    <w:rsid w:val="00727C5A"/>
    <w:rsid w:val="00727E19"/>
    <w:rsid w:val="00727F8D"/>
    <w:rsid w:val="007305C7"/>
    <w:rsid w:val="0073084D"/>
    <w:rsid w:val="00730D0C"/>
    <w:rsid w:val="00730D5F"/>
    <w:rsid w:val="00730F12"/>
    <w:rsid w:val="00730F7B"/>
    <w:rsid w:val="00730FBC"/>
    <w:rsid w:val="0073113B"/>
    <w:rsid w:val="007313DE"/>
    <w:rsid w:val="00731586"/>
    <w:rsid w:val="0073194F"/>
    <w:rsid w:val="007319FD"/>
    <w:rsid w:val="00731A36"/>
    <w:rsid w:val="00731A88"/>
    <w:rsid w:val="00732149"/>
    <w:rsid w:val="00732CF5"/>
    <w:rsid w:val="00732DCB"/>
    <w:rsid w:val="0073313F"/>
    <w:rsid w:val="00733395"/>
    <w:rsid w:val="00733411"/>
    <w:rsid w:val="00733648"/>
    <w:rsid w:val="007336C2"/>
    <w:rsid w:val="007338A2"/>
    <w:rsid w:val="00733CB2"/>
    <w:rsid w:val="00733DFA"/>
    <w:rsid w:val="0073414A"/>
    <w:rsid w:val="007341E5"/>
    <w:rsid w:val="00734346"/>
    <w:rsid w:val="00734634"/>
    <w:rsid w:val="0073465C"/>
    <w:rsid w:val="007351B5"/>
    <w:rsid w:val="00735270"/>
    <w:rsid w:val="00735813"/>
    <w:rsid w:val="007358E2"/>
    <w:rsid w:val="00735D30"/>
    <w:rsid w:val="00735D67"/>
    <w:rsid w:val="00735E32"/>
    <w:rsid w:val="00735E80"/>
    <w:rsid w:val="00736264"/>
    <w:rsid w:val="007364EF"/>
    <w:rsid w:val="0073651C"/>
    <w:rsid w:val="00736685"/>
    <w:rsid w:val="00736BEC"/>
    <w:rsid w:val="00736CB6"/>
    <w:rsid w:val="00736CF9"/>
    <w:rsid w:val="00736F27"/>
    <w:rsid w:val="00736F58"/>
    <w:rsid w:val="007412A7"/>
    <w:rsid w:val="007413B2"/>
    <w:rsid w:val="00741B67"/>
    <w:rsid w:val="00741D6A"/>
    <w:rsid w:val="00741E8D"/>
    <w:rsid w:val="00741F98"/>
    <w:rsid w:val="00741FC3"/>
    <w:rsid w:val="00742A86"/>
    <w:rsid w:val="0074305D"/>
    <w:rsid w:val="00743626"/>
    <w:rsid w:val="007437CA"/>
    <w:rsid w:val="007437DE"/>
    <w:rsid w:val="00743FD8"/>
    <w:rsid w:val="007449CB"/>
    <w:rsid w:val="00744CD9"/>
    <w:rsid w:val="00745024"/>
    <w:rsid w:val="00745388"/>
    <w:rsid w:val="00745BEE"/>
    <w:rsid w:val="007463C5"/>
    <w:rsid w:val="007463ED"/>
    <w:rsid w:val="007464CB"/>
    <w:rsid w:val="00746803"/>
    <w:rsid w:val="00746D83"/>
    <w:rsid w:val="00746E3A"/>
    <w:rsid w:val="00747027"/>
    <w:rsid w:val="00747171"/>
    <w:rsid w:val="007473F3"/>
    <w:rsid w:val="00747452"/>
    <w:rsid w:val="00747552"/>
    <w:rsid w:val="007477DB"/>
    <w:rsid w:val="00747A4C"/>
    <w:rsid w:val="00747DA5"/>
    <w:rsid w:val="00750125"/>
    <w:rsid w:val="00750160"/>
    <w:rsid w:val="007501C4"/>
    <w:rsid w:val="007505E6"/>
    <w:rsid w:val="0075098E"/>
    <w:rsid w:val="00750AAD"/>
    <w:rsid w:val="00750BE5"/>
    <w:rsid w:val="007512C6"/>
    <w:rsid w:val="007512FC"/>
    <w:rsid w:val="00752731"/>
    <w:rsid w:val="00753314"/>
    <w:rsid w:val="007536CB"/>
    <w:rsid w:val="00753D52"/>
    <w:rsid w:val="007544C6"/>
    <w:rsid w:val="007546BA"/>
    <w:rsid w:val="00754964"/>
    <w:rsid w:val="007549B8"/>
    <w:rsid w:val="00754B6A"/>
    <w:rsid w:val="00754DE5"/>
    <w:rsid w:val="00754F7F"/>
    <w:rsid w:val="00755595"/>
    <w:rsid w:val="00755DB6"/>
    <w:rsid w:val="00756003"/>
    <w:rsid w:val="0075651D"/>
    <w:rsid w:val="00756772"/>
    <w:rsid w:val="007572F5"/>
    <w:rsid w:val="007579E9"/>
    <w:rsid w:val="00757A3C"/>
    <w:rsid w:val="00757B46"/>
    <w:rsid w:val="00757FA8"/>
    <w:rsid w:val="00760F03"/>
    <w:rsid w:val="00760F16"/>
    <w:rsid w:val="00761441"/>
    <w:rsid w:val="007615EB"/>
    <w:rsid w:val="0076170C"/>
    <w:rsid w:val="00761943"/>
    <w:rsid w:val="00761F9F"/>
    <w:rsid w:val="00762257"/>
    <w:rsid w:val="0076260A"/>
    <w:rsid w:val="00762655"/>
    <w:rsid w:val="0076283C"/>
    <w:rsid w:val="007628D3"/>
    <w:rsid w:val="00762C53"/>
    <w:rsid w:val="00762CAC"/>
    <w:rsid w:val="00762E58"/>
    <w:rsid w:val="00762F61"/>
    <w:rsid w:val="00763577"/>
    <w:rsid w:val="00763E08"/>
    <w:rsid w:val="007640AC"/>
    <w:rsid w:val="007642FE"/>
    <w:rsid w:val="0076450D"/>
    <w:rsid w:val="0076453A"/>
    <w:rsid w:val="007646D3"/>
    <w:rsid w:val="007648ED"/>
    <w:rsid w:val="00765159"/>
    <w:rsid w:val="00765257"/>
    <w:rsid w:val="0076576C"/>
    <w:rsid w:val="00765A01"/>
    <w:rsid w:val="007667BC"/>
    <w:rsid w:val="00766B89"/>
    <w:rsid w:val="00766CD0"/>
    <w:rsid w:val="00766DA0"/>
    <w:rsid w:val="007671FA"/>
    <w:rsid w:val="007674B2"/>
    <w:rsid w:val="00767782"/>
    <w:rsid w:val="007678A9"/>
    <w:rsid w:val="00767B6D"/>
    <w:rsid w:val="00770327"/>
    <w:rsid w:val="007708B6"/>
    <w:rsid w:val="00770934"/>
    <w:rsid w:val="00770E68"/>
    <w:rsid w:val="0077118E"/>
    <w:rsid w:val="007711FA"/>
    <w:rsid w:val="00771698"/>
    <w:rsid w:val="007718DF"/>
    <w:rsid w:val="00771B41"/>
    <w:rsid w:val="00772147"/>
    <w:rsid w:val="007724FB"/>
    <w:rsid w:val="00772570"/>
    <w:rsid w:val="00772A36"/>
    <w:rsid w:val="00772A80"/>
    <w:rsid w:val="00772C48"/>
    <w:rsid w:val="00772E11"/>
    <w:rsid w:val="0077302F"/>
    <w:rsid w:val="007731E6"/>
    <w:rsid w:val="00773466"/>
    <w:rsid w:val="007738E3"/>
    <w:rsid w:val="007739F4"/>
    <w:rsid w:val="00773B36"/>
    <w:rsid w:val="00773B5E"/>
    <w:rsid w:val="00773F58"/>
    <w:rsid w:val="00774493"/>
    <w:rsid w:val="00774505"/>
    <w:rsid w:val="007748C3"/>
    <w:rsid w:val="00774AE1"/>
    <w:rsid w:val="00774D9F"/>
    <w:rsid w:val="00774FAF"/>
    <w:rsid w:val="007756D0"/>
    <w:rsid w:val="00775E1E"/>
    <w:rsid w:val="0077651C"/>
    <w:rsid w:val="00776632"/>
    <w:rsid w:val="007768D9"/>
    <w:rsid w:val="007769E9"/>
    <w:rsid w:val="00777809"/>
    <w:rsid w:val="007779DD"/>
    <w:rsid w:val="00777B45"/>
    <w:rsid w:val="00777B9A"/>
    <w:rsid w:val="00777C23"/>
    <w:rsid w:val="00780B04"/>
    <w:rsid w:val="00780D04"/>
    <w:rsid w:val="00780DF8"/>
    <w:rsid w:val="00780E09"/>
    <w:rsid w:val="007811B4"/>
    <w:rsid w:val="0078121C"/>
    <w:rsid w:val="0078129F"/>
    <w:rsid w:val="00781555"/>
    <w:rsid w:val="0078161B"/>
    <w:rsid w:val="007817E3"/>
    <w:rsid w:val="0078191D"/>
    <w:rsid w:val="00781A56"/>
    <w:rsid w:val="00781A90"/>
    <w:rsid w:val="00781DCC"/>
    <w:rsid w:val="00781F30"/>
    <w:rsid w:val="007825BF"/>
    <w:rsid w:val="00782DFA"/>
    <w:rsid w:val="00783004"/>
    <w:rsid w:val="00783019"/>
    <w:rsid w:val="0078317C"/>
    <w:rsid w:val="00783726"/>
    <w:rsid w:val="00783E41"/>
    <w:rsid w:val="007848BE"/>
    <w:rsid w:val="007853F3"/>
    <w:rsid w:val="007853F8"/>
    <w:rsid w:val="007854EA"/>
    <w:rsid w:val="00785667"/>
    <w:rsid w:val="0078583E"/>
    <w:rsid w:val="007858DA"/>
    <w:rsid w:val="00786266"/>
    <w:rsid w:val="007866BD"/>
    <w:rsid w:val="007867EE"/>
    <w:rsid w:val="00786AA5"/>
    <w:rsid w:val="00787133"/>
    <w:rsid w:val="00787161"/>
    <w:rsid w:val="007872D0"/>
    <w:rsid w:val="007873E0"/>
    <w:rsid w:val="007876A1"/>
    <w:rsid w:val="0078786B"/>
    <w:rsid w:val="007903DB"/>
    <w:rsid w:val="007909E1"/>
    <w:rsid w:val="00790BE1"/>
    <w:rsid w:val="007912F5"/>
    <w:rsid w:val="007912FE"/>
    <w:rsid w:val="0079154C"/>
    <w:rsid w:val="00791B4C"/>
    <w:rsid w:val="00791B57"/>
    <w:rsid w:val="00791D9F"/>
    <w:rsid w:val="00791E7E"/>
    <w:rsid w:val="007923FF"/>
    <w:rsid w:val="007924BD"/>
    <w:rsid w:val="00793183"/>
    <w:rsid w:val="007931D1"/>
    <w:rsid w:val="00793394"/>
    <w:rsid w:val="007935CF"/>
    <w:rsid w:val="00793685"/>
    <w:rsid w:val="00793E53"/>
    <w:rsid w:val="00794A19"/>
    <w:rsid w:val="00794E61"/>
    <w:rsid w:val="00795581"/>
    <w:rsid w:val="007956C2"/>
    <w:rsid w:val="0079589F"/>
    <w:rsid w:val="007958A7"/>
    <w:rsid w:val="00795EC5"/>
    <w:rsid w:val="00796461"/>
    <w:rsid w:val="007964F1"/>
    <w:rsid w:val="00796A78"/>
    <w:rsid w:val="00796C25"/>
    <w:rsid w:val="00796E7D"/>
    <w:rsid w:val="00796FDC"/>
    <w:rsid w:val="0079727E"/>
    <w:rsid w:val="0079730F"/>
    <w:rsid w:val="00797567"/>
    <w:rsid w:val="00797806"/>
    <w:rsid w:val="00797CD4"/>
    <w:rsid w:val="00797E06"/>
    <w:rsid w:val="00797F8A"/>
    <w:rsid w:val="007A0347"/>
    <w:rsid w:val="007A03BF"/>
    <w:rsid w:val="007A03D2"/>
    <w:rsid w:val="007A0933"/>
    <w:rsid w:val="007A0987"/>
    <w:rsid w:val="007A1047"/>
    <w:rsid w:val="007A14E6"/>
    <w:rsid w:val="007A14F6"/>
    <w:rsid w:val="007A192A"/>
    <w:rsid w:val="007A195E"/>
    <w:rsid w:val="007A1A8B"/>
    <w:rsid w:val="007A1BFE"/>
    <w:rsid w:val="007A1DCF"/>
    <w:rsid w:val="007A224C"/>
    <w:rsid w:val="007A229D"/>
    <w:rsid w:val="007A22E7"/>
    <w:rsid w:val="007A23E8"/>
    <w:rsid w:val="007A38EE"/>
    <w:rsid w:val="007A395D"/>
    <w:rsid w:val="007A3AA2"/>
    <w:rsid w:val="007A3B5B"/>
    <w:rsid w:val="007A3D8E"/>
    <w:rsid w:val="007A4230"/>
    <w:rsid w:val="007A44BB"/>
    <w:rsid w:val="007A45F5"/>
    <w:rsid w:val="007A4625"/>
    <w:rsid w:val="007A4A2C"/>
    <w:rsid w:val="007A4B3A"/>
    <w:rsid w:val="007A4CAE"/>
    <w:rsid w:val="007A4D69"/>
    <w:rsid w:val="007A4E0F"/>
    <w:rsid w:val="007A4F1E"/>
    <w:rsid w:val="007A5BAF"/>
    <w:rsid w:val="007A5CEF"/>
    <w:rsid w:val="007A6575"/>
    <w:rsid w:val="007A68D6"/>
    <w:rsid w:val="007A6F79"/>
    <w:rsid w:val="007A79D2"/>
    <w:rsid w:val="007A7A4E"/>
    <w:rsid w:val="007A7F00"/>
    <w:rsid w:val="007B03B7"/>
    <w:rsid w:val="007B052E"/>
    <w:rsid w:val="007B0C88"/>
    <w:rsid w:val="007B14DA"/>
    <w:rsid w:val="007B1685"/>
    <w:rsid w:val="007B1A58"/>
    <w:rsid w:val="007B1A8F"/>
    <w:rsid w:val="007B1C07"/>
    <w:rsid w:val="007B1F75"/>
    <w:rsid w:val="007B2193"/>
    <w:rsid w:val="007B2890"/>
    <w:rsid w:val="007B2A9B"/>
    <w:rsid w:val="007B2B53"/>
    <w:rsid w:val="007B2D4F"/>
    <w:rsid w:val="007B2F77"/>
    <w:rsid w:val="007B31F2"/>
    <w:rsid w:val="007B320A"/>
    <w:rsid w:val="007B3D69"/>
    <w:rsid w:val="007B3F18"/>
    <w:rsid w:val="007B402A"/>
    <w:rsid w:val="007B42A1"/>
    <w:rsid w:val="007B497B"/>
    <w:rsid w:val="007B4A60"/>
    <w:rsid w:val="007B4F81"/>
    <w:rsid w:val="007B50A6"/>
    <w:rsid w:val="007B5744"/>
    <w:rsid w:val="007B5753"/>
    <w:rsid w:val="007B59A0"/>
    <w:rsid w:val="007B61F2"/>
    <w:rsid w:val="007B6425"/>
    <w:rsid w:val="007B6887"/>
    <w:rsid w:val="007B693C"/>
    <w:rsid w:val="007B6B3D"/>
    <w:rsid w:val="007B6C5A"/>
    <w:rsid w:val="007B7BD8"/>
    <w:rsid w:val="007C0042"/>
    <w:rsid w:val="007C00CB"/>
    <w:rsid w:val="007C0344"/>
    <w:rsid w:val="007C083B"/>
    <w:rsid w:val="007C0989"/>
    <w:rsid w:val="007C0D27"/>
    <w:rsid w:val="007C0D2F"/>
    <w:rsid w:val="007C0FD3"/>
    <w:rsid w:val="007C1899"/>
    <w:rsid w:val="007C18BE"/>
    <w:rsid w:val="007C190A"/>
    <w:rsid w:val="007C19D7"/>
    <w:rsid w:val="007C1AA9"/>
    <w:rsid w:val="007C1FDC"/>
    <w:rsid w:val="007C208A"/>
    <w:rsid w:val="007C20B3"/>
    <w:rsid w:val="007C21C7"/>
    <w:rsid w:val="007C24E2"/>
    <w:rsid w:val="007C2AB6"/>
    <w:rsid w:val="007C2FFF"/>
    <w:rsid w:val="007C315A"/>
    <w:rsid w:val="007C34C5"/>
    <w:rsid w:val="007C34EA"/>
    <w:rsid w:val="007C3A23"/>
    <w:rsid w:val="007C3A83"/>
    <w:rsid w:val="007C3EA5"/>
    <w:rsid w:val="007C4008"/>
    <w:rsid w:val="007C4232"/>
    <w:rsid w:val="007C4271"/>
    <w:rsid w:val="007C4873"/>
    <w:rsid w:val="007C49B0"/>
    <w:rsid w:val="007C4C8B"/>
    <w:rsid w:val="007C5461"/>
    <w:rsid w:val="007C559B"/>
    <w:rsid w:val="007C5825"/>
    <w:rsid w:val="007C5886"/>
    <w:rsid w:val="007C5CC2"/>
    <w:rsid w:val="007C6228"/>
    <w:rsid w:val="007C68A6"/>
    <w:rsid w:val="007C6950"/>
    <w:rsid w:val="007C7016"/>
    <w:rsid w:val="007C70CE"/>
    <w:rsid w:val="007C70EE"/>
    <w:rsid w:val="007C725B"/>
    <w:rsid w:val="007C745E"/>
    <w:rsid w:val="007C75B1"/>
    <w:rsid w:val="007C7821"/>
    <w:rsid w:val="007C789A"/>
    <w:rsid w:val="007C7AB5"/>
    <w:rsid w:val="007C7CB8"/>
    <w:rsid w:val="007C7CDB"/>
    <w:rsid w:val="007C7D93"/>
    <w:rsid w:val="007C7E65"/>
    <w:rsid w:val="007D007B"/>
    <w:rsid w:val="007D030D"/>
    <w:rsid w:val="007D065F"/>
    <w:rsid w:val="007D0929"/>
    <w:rsid w:val="007D0ABA"/>
    <w:rsid w:val="007D1188"/>
    <w:rsid w:val="007D122E"/>
    <w:rsid w:val="007D16EE"/>
    <w:rsid w:val="007D177B"/>
    <w:rsid w:val="007D188F"/>
    <w:rsid w:val="007D1B34"/>
    <w:rsid w:val="007D1D7C"/>
    <w:rsid w:val="007D20BD"/>
    <w:rsid w:val="007D23FD"/>
    <w:rsid w:val="007D2740"/>
    <w:rsid w:val="007D2A55"/>
    <w:rsid w:val="007D2B5B"/>
    <w:rsid w:val="007D2BEB"/>
    <w:rsid w:val="007D2D2A"/>
    <w:rsid w:val="007D3A97"/>
    <w:rsid w:val="007D3C8D"/>
    <w:rsid w:val="007D3F97"/>
    <w:rsid w:val="007D3FE0"/>
    <w:rsid w:val="007D3FF5"/>
    <w:rsid w:val="007D42D7"/>
    <w:rsid w:val="007D440B"/>
    <w:rsid w:val="007D4429"/>
    <w:rsid w:val="007D46F3"/>
    <w:rsid w:val="007D5080"/>
    <w:rsid w:val="007D5398"/>
    <w:rsid w:val="007D61B6"/>
    <w:rsid w:val="007D6351"/>
    <w:rsid w:val="007D69EE"/>
    <w:rsid w:val="007D6C0B"/>
    <w:rsid w:val="007D6C1E"/>
    <w:rsid w:val="007D6C8D"/>
    <w:rsid w:val="007D6CBD"/>
    <w:rsid w:val="007D6F2D"/>
    <w:rsid w:val="007D7196"/>
    <w:rsid w:val="007D76ED"/>
    <w:rsid w:val="007D7E11"/>
    <w:rsid w:val="007E0059"/>
    <w:rsid w:val="007E0A80"/>
    <w:rsid w:val="007E0BEC"/>
    <w:rsid w:val="007E11B0"/>
    <w:rsid w:val="007E173B"/>
    <w:rsid w:val="007E1E83"/>
    <w:rsid w:val="007E2226"/>
    <w:rsid w:val="007E2AE5"/>
    <w:rsid w:val="007E2EAB"/>
    <w:rsid w:val="007E30E9"/>
    <w:rsid w:val="007E3102"/>
    <w:rsid w:val="007E352F"/>
    <w:rsid w:val="007E35B7"/>
    <w:rsid w:val="007E35C1"/>
    <w:rsid w:val="007E38B6"/>
    <w:rsid w:val="007E39A4"/>
    <w:rsid w:val="007E3D0D"/>
    <w:rsid w:val="007E3ED8"/>
    <w:rsid w:val="007E41DD"/>
    <w:rsid w:val="007E43AC"/>
    <w:rsid w:val="007E44BD"/>
    <w:rsid w:val="007E49D4"/>
    <w:rsid w:val="007E4B79"/>
    <w:rsid w:val="007E4BCB"/>
    <w:rsid w:val="007E4CCA"/>
    <w:rsid w:val="007E4F51"/>
    <w:rsid w:val="007E52E8"/>
    <w:rsid w:val="007E5DE3"/>
    <w:rsid w:val="007E5E59"/>
    <w:rsid w:val="007E64FC"/>
    <w:rsid w:val="007E6A38"/>
    <w:rsid w:val="007E6A8D"/>
    <w:rsid w:val="007E6AB7"/>
    <w:rsid w:val="007E7019"/>
    <w:rsid w:val="007E7269"/>
    <w:rsid w:val="007E73D2"/>
    <w:rsid w:val="007E73D4"/>
    <w:rsid w:val="007E7611"/>
    <w:rsid w:val="007E787D"/>
    <w:rsid w:val="007E79F8"/>
    <w:rsid w:val="007E7AB4"/>
    <w:rsid w:val="007E7AEB"/>
    <w:rsid w:val="007E7BCA"/>
    <w:rsid w:val="007F037B"/>
    <w:rsid w:val="007F0AB0"/>
    <w:rsid w:val="007F0E2D"/>
    <w:rsid w:val="007F0F13"/>
    <w:rsid w:val="007F105B"/>
    <w:rsid w:val="007F14A4"/>
    <w:rsid w:val="007F14B4"/>
    <w:rsid w:val="007F1672"/>
    <w:rsid w:val="007F18A3"/>
    <w:rsid w:val="007F1AA1"/>
    <w:rsid w:val="007F20FE"/>
    <w:rsid w:val="007F244E"/>
    <w:rsid w:val="007F2511"/>
    <w:rsid w:val="007F2A28"/>
    <w:rsid w:val="007F2A9D"/>
    <w:rsid w:val="007F2E83"/>
    <w:rsid w:val="007F3587"/>
    <w:rsid w:val="007F35D8"/>
    <w:rsid w:val="007F3616"/>
    <w:rsid w:val="007F3D4E"/>
    <w:rsid w:val="007F41FB"/>
    <w:rsid w:val="007F42C7"/>
    <w:rsid w:val="007F42D7"/>
    <w:rsid w:val="007F43A4"/>
    <w:rsid w:val="007F45D8"/>
    <w:rsid w:val="007F4635"/>
    <w:rsid w:val="007F4640"/>
    <w:rsid w:val="007F47C7"/>
    <w:rsid w:val="007F4F34"/>
    <w:rsid w:val="007F5D85"/>
    <w:rsid w:val="007F5E40"/>
    <w:rsid w:val="007F6094"/>
    <w:rsid w:val="007F66D9"/>
    <w:rsid w:val="007F7529"/>
    <w:rsid w:val="007F7980"/>
    <w:rsid w:val="007F7F50"/>
    <w:rsid w:val="007F7FE2"/>
    <w:rsid w:val="0080025E"/>
    <w:rsid w:val="0080030D"/>
    <w:rsid w:val="0080052B"/>
    <w:rsid w:val="008005A1"/>
    <w:rsid w:val="008006A9"/>
    <w:rsid w:val="00800901"/>
    <w:rsid w:val="00800BB7"/>
    <w:rsid w:val="008014EA"/>
    <w:rsid w:val="00801C73"/>
    <w:rsid w:val="008026A5"/>
    <w:rsid w:val="008027FF"/>
    <w:rsid w:val="00802A0C"/>
    <w:rsid w:val="00803069"/>
    <w:rsid w:val="00803A0C"/>
    <w:rsid w:val="00803A6B"/>
    <w:rsid w:val="00803B25"/>
    <w:rsid w:val="00803D0D"/>
    <w:rsid w:val="008042CE"/>
    <w:rsid w:val="00804C3A"/>
    <w:rsid w:val="00804C53"/>
    <w:rsid w:val="00804E15"/>
    <w:rsid w:val="008052BF"/>
    <w:rsid w:val="00805959"/>
    <w:rsid w:val="00805B31"/>
    <w:rsid w:val="00805C4B"/>
    <w:rsid w:val="00805C96"/>
    <w:rsid w:val="00805C97"/>
    <w:rsid w:val="00805E27"/>
    <w:rsid w:val="00805EB7"/>
    <w:rsid w:val="008064A5"/>
    <w:rsid w:val="008072BB"/>
    <w:rsid w:val="00807393"/>
    <w:rsid w:val="008074EF"/>
    <w:rsid w:val="00807757"/>
    <w:rsid w:val="008077D7"/>
    <w:rsid w:val="00807CC0"/>
    <w:rsid w:val="00807E4A"/>
    <w:rsid w:val="00807EC3"/>
    <w:rsid w:val="00810459"/>
    <w:rsid w:val="008107CB"/>
    <w:rsid w:val="00810841"/>
    <w:rsid w:val="00810E1A"/>
    <w:rsid w:val="008110BE"/>
    <w:rsid w:val="008111B8"/>
    <w:rsid w:val="0081187C"/>
    <w:rsid w:val="00811CE0"/>
    <w:rsid w:val="0081206B"/>
    <w:rsid w:val="00812137"/>
    <w:rsid w:val="00812607"/>
    <w:rsid w:val="00812C90"/>
    <w:rsid w:val="008132A1"/>
    <w:rsid w:val="0081331D"/>
    <w:rsid w:val="00813A06"/>
    <w:rsid w:val="00814190"/>
    <w:rsid w:val="008143BC"/>
    <w:rsid w:val="008145C2"/>
    <w:rsid w:val="008145F3"/>
    <w:rsid w:val="008147F5"/>
    <w:rsid w:val="00814838"/>
    <w:rsid w:val="008149AF"/>
    <w:rsid w:val="00814DAB"/>
    <w:rsid w:val="00815433"/>
    <w:rsid w:val="00815732"/>
    <w:rsid w:val="00815A4C"/>
    <w:rsid w:val="00815D05"/>
    <w:rsid w:val="00815E2F"/>
    <w:rsid w:val="00815F85"/>
    <w:rsid w:val="008161B7"/>
    <w:rsid w:val="008165B2"/>
    <w:rsid w:val="008165CF"/>
    <w:rsid w:val="0081669C"/>
    <w:rsid w:val="0081694D"/>
    <w:rsid w:val="00816F85"/>
    <w:rsid w:val="008171E3"/>
    <w:rsid w:val="00817877"/>
    <w:rsid w:val="00817C1E"/>
    <w:rsid w:val="00817C81"/>
    <w:rsid w:val="00817F23"/>
    <w:rsid w:val="008200E7"/>
    <w:rsid w:val="008201A5"/>
    <w:rsid w:val="0082066A"/>
    <w:rsid w:val="00820730"/>
    <w:rsid w:val="00820E8E"/>
    <w:rsid w:val="00820FF3"/>
    <w:rsid w:val="008210D6"/>
    <w:rsid w:val="00821163"/>
    <w:rsid w:val="00821203"/>
    <w:rsid w:val="00821824"/>
    <w:rsid w:val="00821C29"/>
    <w:rsid w:val="008220E7"/>
    <w:rsid w:val="008220F5"/>
    <w:rsid w:val="008221AA"/>
    <w:rsid w:val="00822512"/>
    <w:rsid w:val="00822618"/>
    <w:rsid w:val="00822B92"/>
    <w:rsid w:val="00822C2D"/>
    <w:rsid w:val="008230F8"/>
    <w:rsid w:val="008239A0"/>
    <w:rsid w:val="00823AA5"/>
    <w:rsid w:val="00823ABE"/>
    <w:rsid w:val="00823C99"/>
    <w:rsid w:val="00823DCC"/>
    <w:rsid w:val="008245E2"/>
    <w:rsid w:val="008247DC"/>
    <w:rsid w:val="008251DF"/>
    <w:rsid w:val="008253F2"/>
    <w:rsid w:val="00825503"/>
    <w:rsid w:val="0082580E"/>
    <w:rsid w:val="00825C01"/>
    <w:rsid w:val="00825C58"/>
    <w:rsid w:val="008260F0"/>
    <w:rsid w:val="00826221"/>
    <w:rsid w:val="0082629D"/>
    <w:rsid w:val="008266F2"/>
    <w:rsid w:val="00826857"/>
    <w:rsid w:val="00826D96"/>
    <w:rsid w:val="00826F74"/>
    <w:rsid w:val="00827A08"/>
    <w:rsid w:val="00827A70"/>
    <w:rsid w:val="00827BA4"/>
    <w:rsid w:val="00827D00"/>
    <w:rsid w:val="00827FB8"/>
    <w:rsid w:val="00830361"/>
    <w:rsid w:val="008305A6"/>
    <w:rsid w:val="00830833"/>
    <w:rsid w:val="00830AD6"/>
    <w:rsid w:val="00830D9F"/>
    <w:rsid w:val="00830F1D"/>
    <w:rsid w:val="0083122C"/>
    <w:rsid w:val="00831698"/>
    <w:rsid w:val="00831E61"/>
    <w:rsid w:val="0083203A"/>
    <w:rsid w:val="0083262D"/>
    <w:rsid w:val="008326F6"/>
    <w:rsid w:val="008328AA"/>
    <w:rsid w:val="00832994"/>
    <w:rsid w:val="00832E64"/>
    <w:rsid w:val="00832EF6"/>
    <w:rsid w:val="00833443"/>
    <w:rsid w:val="00833B9A"/>
    <w:rsid w:val="00834353"/>
    <w:rsid w:val="00834890"/>
    <w:rsid w:val="00834D88"/>
    <w:rsid w:val="00835236"/>
    <w:rsid w:val="008352B4"/>
    <w:rsid w:val="0083546F"/>
    <w:rsid w:val="008355AD"/>
    <w:rsid w:val="0083566A"/>
    <w:rsid w:val="008358F5"/>
    <w:rsid w:val="00835AD8"/>
    <w:rsid w:val="00835F10"/>
    <w:rsid w:val="008365FB"/>
    <w:rsid w:val="008367AD"/>
    <w:rsid w:val="00836A49"/>
    <w:rsid w:val="00836CF0"/>
    <w:rsid w:val="00837016"/>
    <w:rsid w:val="00837663"/>
    <w:rsid w:val="00837687"/>
    <w:rsid w:val="00837783"/>
    <w:rsid w:val="00837EDE"/>
    <w:rsid w:val="0084034B"/>
    <w:rsid w:val="0084035B"/>
    <w:rsid w:val="008406F4"/>
    <w:rsid w:val="00840740"/>
    <w:rsid w:val="008407D2"/>
    <w:rsid w:val="008408C0"/>
    <w:rsid w:val="00840C70"/>
    <w:rsid w:val="00840DDA"/>
    <w:rsid w:val="00841046"/>
    <w:rsid w:val="008411FE"/>
    <w:rsid w:val="00841227"/>
    <w:rsid w:val="00841265"/>
    <w:rsid w:val="008416E1"/>
    <w:rsid w:val="00841EFF"/>
    <w:rsid w:val="00841FBA"/>
    <w:rsid w:val="00842A79"/>
    <w:rsid w:val="00842D62"/>
    <w:rsid w:val="008432C6"/>
    <w:rsid w:val="008432EA"/>
    <w:rsid w:val="00843CA5"/>
    <w:rsid w:val="00843CBE"/>
    <w:rsid w:val="0084431A"/>
    <w:rsid w:val="00844556"/>
    <w:rsid w:val="00844D8B"/>
    <w:rsid w:val="00844E26"/>
    <w:rsid w:val="00844E4C"/>
    <w:rsid w:val="00844E56"/>
    <w:rsid w:val="00845385"/>
    <w:rsid w:val="00845B16"/>
    <w:rsid w:val="00845D5C"/>
    <w:rsid w:val="00845F3D"/>
    <w:rsid w:val="00846119"/>
    <w:rsid w:val="00846291"/>
    <w:rsid w:val="0084662E"/>
    <w:rsid w:val="00846630"/>
    <w:rsid w:val="008466D7"/>
    <w:rsid w:val="008469DC"/>
    <w:rsid w:val="00846D56"/>
    <w:rsid w:val="00846DF5"/>
    <w:rsid w:val="008474DD"/>
    <w:rsid w:val="00847938"/>
    <w:rsid w:val="00847D5A"/>
    <w:rsid w:val="00847EFE"/>
    <w:rsid w:val="0085003A"/>
    <w:rsid w:val="00850235"/>
    <w:rsid w:val="0085039C"/>
    <w:rsid w:val="00850605"/>
    <w:rsid w:val="00850892"/>
    <w:rsid w:val="008509C7"/>
    <w:rsid w:val="008511EB"/>
    <w:rsid w:val="00851284"/>
    <w:rsid w:val="008516CF"/>
    <w:rsid w:val="00851773"/>
    <w:rsid w:val="00851A14"/>
    <w:rsid w:val="00851B3E"/>
    <w:rsid w:val="008528AB"/>
    <w:rsid w:val="00852A92"/>
    <w:rsid w:val="00852B0C"/>
    <w:rsid w:val="00852D43"/>
    <w:rsid w:val="00853124"/>
    <w:rsid w:val="00853374"/>
    <w:rsid w:val="008533E1"/>
    <w:rsid w:val="00853BA0"/>
    <w:rsid w:val="0085459D"/>
    <w:rsid w:val="0085480C"/>
    <w:rsid w:val="00854D6C"/>
    <w:rsid w:val="008550C7"/>
    <w:rsid w:val="00855184"/>
    <w:rsid w:val="008554CE"/>
    <w:rsid w:val="00855617"/>
    <w:rsid w:val="0085592A"/>
    <w:rsid w:val="008559BC"/>
    <w:rsid w:val="00855C25"/>
    <w:rsid w:val="00855F0F"/>
    <w:rsid w:val="00855F44"/>
    <w:rsid w:val="00856422"/>
    <w:rsid w:val="0085662D"/>
    <w:rsid w:val="008569FC"/>
    <w:rsid w:val="00856D2A"/>
    <w:rsid w:val="00856F4A"/>
    <w:rsid w:val="00857618"/>
    <w:rsid w:val="00857649"/>
    <w:rsid w:val="00860006"/>
    <w:rsid w:val="00860371"/>
    <w:rsid w:val="00860722"/>
    <w:rsid w:val="00860725"/>
    <w:rsid w:val="00860D45"/>
    <w:rsid w:val="00860DAB"/>
    <w:rsid w:val="008611FE"/>
    <w:rsid w:val="008613AA"/>
    <w:rsid w:val="00861420"/>
    <w:rsid w:val="0086188B"/>
    <w:rsid w:val="00861B50"/>
    <w:rsid w:val="00861CEB"/>
    <w:rsid w:val="00861EC7"/>
    <w:rsid w:val="00861F18"/>
    <w:rsid w:val="008622B1"/>
    <w:rsid w:val="008625A0"/>
    <w:rsid w:val="00862967"/>
    <w:rsid w:val="00862B36"/>
    <w:rsid w:val="00863422"/>
    <w:rsid w:val="00863503"/>
    <w:rsid w:val="00863581"/>
    <w:rsid w:val="008638D8"/>
    <w:rsid w:val="008639BB"/>
    <w:rsid w:val="00863BCC"/>
    <w:rsid w:val="00864902"/>
    <w:rsid w:val="00864B6B"/>
    <w:rsid w:val="00864BAB"/>
    <w:rsid w:val="00864CB4"/>
    <w:rsid w:val="00864D1B"/>
    <w:rsid w:val="00864F86"/>
    <w:rsid w:val="00865015"/>
    <w:rsid w:val="0086530E"/>
    <w:rsid w:val="0086536D"/>
    <w:rsid w:val="008654D7"/>
    <w:rsid w:val="00865D46"/>
    <w:rsid w:val="00865FC5"/>
    <w:rsid w:val="0086604B"/>
    <w:rsid w:val="0086666E"/>
    <w:rsid w:val="00866D49"/>
    <w:rsid w:val="0086712A"/>
    <w:rsid w:val="00867550"/>
    <w:rsid w:val="00867BD2"/>
    <w:rsid w:val="00867C51"/>
    <w:rsid w:val="00867D3A"/>
    <w:rsid w:val="00870100"/>
    <w:rsid w:val="00870626"/>
    <w:rsid w:val="00870638"/>
    <w:rsid w:val="008706FD"/>
    <w:rsid w:val="008711BD"/>
    <w:rsid w:val="008713A9"/>
    <w:rsid w:val="008714A5"/>
    <w:rsid w:val="008714F3"/>
    <w:rsid w:val="00871B69"/>
    <w:rsid w:val="00872045"/>
    <w:rsid w:val="008722FC"/>
    <w:rsid w:val="00872988"/>
    <w:rsid w:val="0087299F"/>
    <w:rsid w:val="00872A14"/>
    <w:rsid w:val="00872A4B"/>
    <w:rsid w:val="00872A78"/>
    <w:rsid w:val="00872B52"/>
    <w:rsid w:val="00872CC1"/>
    <w:rsid w:val="00873442"/>
    <w:rsid w:val="00873874"/>
    <w:rsid w:val="00873D68"/>
    <w:rsid w:val="00873DBF"/>
    <w:rsid w:val="00874302"/>
    <w:rsid w:val="00874459"/>
    <w:rsid w:val="00874506"/>
    <w:rsid w:val="00874555"/>
    <w:rsid w:val="008745B8"/>
    <w:rsid w:val="00874856"/>
    <w:rsid w:val="0087491A"/>
    <w:rsid w:val="00875629"/>
    <w:rsid w:val="00875765"/>
    <w:rsid w:val="00875987"/>
    <w:rsid w:val="00875EC9"/>
    <w:rsid w:val="008761B1"/>
    <w:rsid w:val="00876221"/>
    <w:rsid w:val="008767D2"/>
    <w:rsid w:val="008768CB"/>
    <w:rsid w:val="0087694C"/>
    <w:rsid w:val="00876A62"/>
    <w:rsid w:val="00876A7A"/>
    <w:rsid w:val="0087777C"/>
    <w:rsid w:val="0087779B"/>
    <w:rsid w:val="00877923"/>
    <w:rsid w:val="00877962"/>
    <w:rsid w:val="00877A37"/>
    <w:rsid w:val="00880356"/>
    <w:rsid w:val="008805F5"/>
    <w:rsid w:val="00880BD5"/>
    <w:rsid w:val="008814F3"/>
    <w:rsid w:val="0088182F"/>
    <w:rsid w:val="00882597"/>
    <w:rsid w:val="008825E5"/>
    <w:rsid w:val="00882645"/>
    <w:rsid w:val="00882DE3"/>
    <w:rsid w:val="0088303C"/>
    <w:rsid w:val="008832C7"/>
    <w:rsid w:val="00883583"/>
    <w:rsid w:val="00883740"/>
    <w:rsid w:val="00883886"/>
    <w:rsid w:val="0088392A"/>
    <w:rsid w:val="00883A7F"/>
    <w:rsid w:val="00884066"/>
    <w:rsid w:val="008840EF"/>
    <w:rsid w:val="00884FF8"/>
    <w:rsid w:val="00885049"/>
    <w:rsid w:val="008850F6"/>
    <w:rsid w:val="008850FC"/>
    <w:rsid w:val="0088555F"/>
    <w:rsid w:val="008856B8"/>
    <w:rsid w:val="00885895"/>
    <w:rsid w:val="00885E0F"/>
    <w:rsid w:val="00885E8A"/>
    <w:rsid w:val="00885FCF"/>
    <w:rsid w:val="008860A4"/>
    <w:rsid w:val="008867A8"/>
    <w:rsid w:val="00886DC2"/>
    <w:rsid w:val="0088768E"/>
    <w:rsid w:val="008878D1"/>
    <w:rsid w:val="008879AD"/>
    <w:rsid w:val="00887A5E"/>
    <w:rsid w:val="00887BBE"/>
    <w:rsid w:val="00887BDD"/>
    <w:rsid w:val="00890152"/>
    <w:rsid w:val="0089039A"/>
    <w:rsid w:val="008904C9"/>
    <w:rsid w:val="00890E1B"/>
    <w:rsid w:val="00890FED"/>
    <w:rsid w:val="008910F2"/>
    <w:rsid w:val="0089118A"/>
    <w:rsid w:val="008917AB"/>
    <w:rsid w:val="008917D1"/>
    <w:rsid w:val="00891E98"/>
    <w:rsid w:val="00891E99"/>
    <w:rsid w:val="00892145"/>
    <w:rsid w:val="00892202"/>
    <w:rsid w:val="008926F2"/>
    <w:rsid w:val="008929D1"/>
    <w:rsid w:val="008931CD"/>
    <w:rsid w:val="0089321B"/>
    <w:rsid w:val="00893525"/>
    <w:rsid w:val="00893552"/>
    <w:rsid w:val="00893696"/>
    <w:rsid w:val="00893BB3"/>
    <w:rsid w:val="00893D03"/>
    <w:rsid w:val="00894507"/>
    <w:rsid w:val="008946D9"/>
    <w:rsid w:val="00894F3F"/>
    <w:rsid w:val="00894FB2"/>
    <w:rsid w:val="00895301"/>
    <w:rsid w:val="00895429"/>
    <w:rsid w:val="008955C1"/>
    <w:rsid w:val="00895B99"/>
    <w:rsid w:val="00895EB8"/>
    <w:rsid w:val="008962FB"/>
    <w:rsid w:val="0089662A"/>
    <w:rsid w:val="00896AEA"/>
    <w:rsid w:val="00896B3C"/>
    <w:rsid w:val="00896E26"/>
    <w:rsid w:val="008971E2"/>
    <w:rsid w:val="0089738B"/>
    <w:rsid w:val="0089747C"/>
    <w:rsid w:val="00897E6F"/>
    <w:rsid w:val="008A01FF"/>
    <w:rsid w:val="008A06CF"/>
    <w:rsid w:val="008A07EC"/>
    <w:rsid w:val="008A08DA"/>
    <w:rsid w:val="008A0A7B"/>
    <w:rsid w:val="008A0AFD"/>
    <w:rsid w:val="008A0C89"/>
    <w:rsid w:val="008A1495"/>
    <w:rsid w:val="008A1691"/>
    <w:rsid w:val="008A172D"/>
    <w:rsid w:val="008A19EF"/>
    <w:rsid w:val="008A208D"/>
    <w:rsid w:val="008A23F8"/>
    <w:rsid w:val="008A24DD"/>
    <w:rsid w:val="008A2C79"/>
    <w:rsid w:val="008A2F0F"/>
    <w:rsid w:val="008A3586"/>
    <w:rsid w:val="008A3BB7"/>
    <w:rsid w:val="008A3E77"/>
    <w:rsid w:val="008A4073"/>
    <w:rsid w:val="008A4950"/>
    <w:rsid w:val="008A4D04"/>
    <w:rsid w:val="008A5580"/>
    <w:rsid w:val="008A6209"/>
    <w:rsid w:val="008A63A5"/>
    <w:rsid w:val="008A64C7"/>
    <w:rsid w:val="008A660F"/>
    <w:rsid w:val="008A6AD8"/>
    <w:rsid w:val="008A6D4B"/>
    <w:rsid w:val="008A6D8D"/>
    <w:rsid w:val="008A7035"/>
    <w:rsid w:val="008A748C"/>
    <w:rsid w:val="008A77DB"/>
    <w:rsid w:val="008A781C"/>
    <w:rsid w:val="008A7886"/>
    <w:rsid w:val="008A794A"/>
    <w:rsid w:val="008B04F6"/>
    <w:rsid w:val="008B04FC"/>
    <w:rsid w:val="008B06BD"/>
    <w:rsid w:val="008B08C4"/>
    <w:rsid w:val="008B0AEF"/>
    <w:rsid w:val="008B0CA5"/>
    <w:rsid w:val="008B0D4E"/>
    <w:rsid w:val="008B0F0C"/>
    <w:rsid w:val="008B13ED"/>
    <w:rsid w:val="008B14C9"/>
    <w:rsid w:val="008B171B"/>
    <w:rsid w:val="008B177C"/>
    <w:rsid w:val="008B1C75"/>
    <w:rsid w:val="008B2222"/>
    <w:rsid w:val="008B24F7"/>
    <w:rsid w:val="008B2670"/>
    <w:rsid w:val="008B2D52"/>
    <w:rsid w:val="008B2FC9"/>
    <w:rsid w:val="008B301A"/>
    <w:rsid w:val="008B310C"/>
    <w:rsid w:val="008B3654"/>
    <w:rsid w:val="008B3E76"/>
    <w:rsid w:val="008B3F67"/>
    <w:rsid w:val="008B4584"/>
    <w:rsid w:val="008B4A79"/>
    <w:rsid w:val="008B4B62"/>
    <w:rsid w:val="008B4EA1"/>
    <w:rsid w:val="008B4FF5"/>
    <w:rsid w:val="008B50FF"/>
    <w:rsid w:val="008B5313"/>
    <w:rsid w:val="008B5DB0"/>
    <w:rsid w:val="008B6B8F"/>
    <w:rsid w:val="008B6D65"/>
    <w:rsid w:val="008B6F09"/>
    <w:rsid w:val="008B6F27"/>
    <w:rsid w:val="008B74FB"/>
    <w:rsid w:val="008B771E"/>
    <w:rsid w:val="008B78C4"/>
    <w:rsid w:val="008C026C"/>
    <w:rsid w:val="008C07D8"/>
    <w:rsid w:val="008C0873"/>
    <w:rsid w:val="008C0A21"/>
    <w:rsid w:val="008C1AA2"/>
    <w:rsid w:val="008C1DC8"/>
    <w:rsid w:val="008C20D3"/>
    <w:rsid w:val="008C232D"/>
    <w:rsid w:val="008C2458"/>
    <w:rsid w:val="008C2E88"/>
    <w:rsid w:val="008C30E5"/>
    <w:rsid w:val="008C36C1"/>
    <w:rsid w:val="008C3B1D"/>
    <w:rsid w:val="008C45F5"/>
    <w:rsid w:val="008C474F"/>
    <w:rsid w:val="008C4A28"/>
    <w:rsid w:val="008C4A4F"/>
    <w:rsid w:val="008C4B72"/>
    <w:rsid w:val="008C4DA9"/>
    <w:rsid w:val="008C527C"/>
    <w:rsid w:val="008C5690"/>
    <w:rsid w:val="008C5B84"/>
    <w:rsid w:val="008C6566"/>
    <w:rsid w:val="008C67E9"/>
    <w:rsid w:val="008C6F08"/>
    <w:rsid w:val="008C711C"/>
    <w:rsid w:val="008C7378"/>
    <w:rsid w:val="008C750F"/>
    <w:rsid w:val="008C75D9"/>
    <w:rsid w:val="008C772F"/>
    <w:rsid w:val="008C7925"/>
    <w:rsid w:val="008C7B8B"/>
    <w:rsid w:val="008C7C0C"/>
    <w:rsid w:val="008D026B"/>
    <w:rsid w:val="008D0306"/>
    <w:rsid w:val="008D0514"/>
    <w:rsid w:val="008D0590"/>
    <w:rsid w:val="008D0652"/>
    <w:rsid w:val="008D08D6"/>
    <w:rsid w:val="008D0D45"/>
    <w:rsid w:val="008D0FE5"/>
    <w:rsid w:val="008D16CB"/>
    <w:rsid w:val="008D18A4"/>
    <w:rsid w:val="008D192D"/>
    <w:rsid w:val="008D1BB5"/>
    <w:rsid w:val="008D1CB5"/>
    <w:rsid w:val="008D1ED4"/>
    <w:rsid w:val="008D2113"/>
    <w:rsid w:val="008D215C"/>
    <w:rsid w:val="008D21B8"/>
    <w:rsid w:val="008D23FD"/>
    <w:rsid w:val="008D2458"/>
    <w:rsid w:val="008D26B8"/>
    <w:rsid w:val="008D283E"/>
    <w:rsid w:val="008D28A5"/>
    <w:rsid w:val="008D2986"/>
    <w:rsid w:val="008D298B"/>
    <w:rsid w:val="008D2B4C"/>
    <w:rsid w:val="008D3136"/>
    <w:rsid w:val="008D3164"/>
    <w:rsid w:val="008D378C"/>
    <w:rsid w:val="008D37DE"/>
    <w:rsid w:val="008D4024"/>
    <w:rsid w:val="008D452A"/>
    <w:rsid w:val="008D4B95"/>
    <w:rsid w:val="008D4F62"/>
    <w:rsid w:val="008D4FA4"/>
    <w:rsid w:val="008D5264"/>
    <w:rsid w:val="008D52F8"/>
    <w:rsid w:val="008D5437"/>
    <w:rsid w:val="008D56E2"/>
    <w:rsid w:val="008D579C"/>
    <w:rsid w:val="008D57C9"/>
    <w:rsid w:val="008D5897"/>
    <w:rsid w:val="008D5FA2"/>
    <w:rsid w:val="008D5FDE"/>
    <w:rsid w:val="008D64C6"/>
    <w:rsid w:val="008D6B9B"/>
    <w:rsid w:val="008D6D90"/>
    <w:rsid w:val="008D727F"/>
    <w:rsid w:val="008D76B7"/>
    <w:rsid w:val="008E0143"/>
    <w:rsid w:val="008E058B"/>
    <w:rsid w:val="008E093F"/>
    <w:rsid w:val="008E0FB2"/>
    <w:rsid w:val="008E10D8"/>
    <w:rsid w:val="008E1387"/>
    <w:rsid w:val="008E1559"/>
    <w:rsid w:val="008E16B5"/>
    <w:rsid w:val="008E18B3"/>
    <w:rsid w:val="008E1955"/>
    <w:rsid w:val="008E1A78"/>
    <w:rsid w:val="008E234A"/>
    <w:rsid w:val="008E24CF"/>
    <w:rsid w:val="008E2CC4"/>
    <w:rsid w:val="008E31CE"/>
    <w:rsid w:val="008E3258"/>
    <w:rsid w:val="008E366A"/>
    <w:rsid w:val="008E398A"/>
    <w:rsid w:val="008E419E"/>
    <w:rsid w:val="008E43D4"/>
    <w:rsid w:val="008E46F8"/>
    <w:rsid w:val="008E498C"/>
    <w:rsid w:val="008E4CEE"/>
    <w:rsid w:val="008E4DB5"/>
    <w:rsid w:val="008E4EC9"/>
    <w:rsid w:val="008E4EE4"/>
    <w:rsid w:val="008E551D"/>
    <w:rsid w:val="008E57D6"/>
    <w:rsid w:val="008E59C8"/>
    <w:rsid w:val="008E5C5F"/>
    <w:rsid w:val="008E5E5B"/>
    <w:rsid w:val="008E603E"/>
    <w:rsid w:val="008E67D7"/>
    <w:rsid w:val="008E6A2E"/>
    <w:rsid w:val="008E6A50"/>
    <w:rsid w:val="008E6BB8"/>
    <w:rsid w:val="008E6DA2"/>
    <w:rsid w:val="008E77A1"/>
    <w:rsid w:val="008E7889"/>
    <w:rsid w:val="008E7940"/>
    <w:rsid w:val="008E7E91"/>
    <w:rsid w:val="008F0490"/>
    <w:rsid w:val="008F055A"/>
    <w:rsid w:val="008F075E"/>
    <w:rsid w:val="008F143D"/>
    <w:rsid w:val="008F1AC6"/>
    <w:rsid w:val="008F1FFD"/>
    <w:rsid w:val="008F2284"/>
    <w:rsid w:val="008F2663"/>
    <w:rsid w:val="008F27B6"/>
    <w:rsid w:val="008F28A9"/>
    <w:rsid w:val="008F28AC"/>
    <w:rsid w:val="008F2994"/>
    <w:rsid w:val="008F2DEA"/>
    <w:rsid w:val="008F3627"/>
    <w:rsid w:val="008F3668"/>
    <w:rsid w:val="008F3A81"/>
    <w:rsid w:val="008F3C20"/>
    <w:rsid w:val="008F497A"/>
    <w:rsid w:val="008F5140"/>
    <w:rsid w:val="008F5878"/>
    <w:rsid w:val="008F59F0"/>
    <w:rsid w:val="008F5AEB"/>
    <w:rsid w:val="008F5CA3"/>
    <w:rsid w:val="008F6349"/>
    <w:rsid w:val="008F652B"/>
    <w:rsid w:val="008F676D"/>
    <w:rsid w:val="008F6A02"/>
    <w:rsid w:val="008F6C58"/>
    <w:rsid w:val="008F734C"/>
    <w:rsid w:val="00900665"/>
    <w:rsid w:val="00900690"/>
    <w:rsid w:val="00900EC6"/>
    <w:rsid w:val="00901673"/>
    <w:rsid w:val="009017AC"/>
    <w:rsid w:val="00901995"/>
    <w:rsid w:val="00901BAD"/>
    <w:rsid w:val="00902291"/>
    <w:rsid w:val="009022C5"/>
    <w:rsid w:val="00902617"/>
    <w:rsid w:val="00902A73"/>
    <w:rsid w:val="00902B91"/>
    <w:rsid w:val="00902FD5"/>
    <w:rsid w:val="009033CD"/>
    <w:rsid w:val="0090357F"/>
    <w:rsid w:val="009037EF"/>
    <w:rsid w:val="00903A0C"/>
    <w:rsid w:val="00903F42"/>
    <w:rsid w:val="00904373"/>
    <w:rsid w:val="0090483F"/>
    <w:rsid w:val="00904B09"/>
    <w:rsid w:val="00905437"/>
    <w:rsid w:val="0090564A"/>
    <w:rsid w:val="0090583F"/>
    <w:rsid w:val="00905A5E"/>
    <w:rsid w:val="00905E6C"/>
    <w:rsid w:val="00905FE8"/>
    <w:rsid w:val="00906029"/>
    <w:rsid w:val="009061BA"/>
    <w:rsid w:val="0090639B"/>
    <w:rsid w:val="00906400"/>
    <w:rsid w:val="0090657E"/>
    <w:rsid w:val="00906945"/>
    <w:rsid w:val="00906ED8"/>
    <w:rsid w:val="00907338"/>
    <w:rsid w:val="009074F3"/>
    <w:rsid w:val="009077A1"/>
    <w:rsid w:val="00907825"/>
    <w:rsid w:val="00907BF9"/>
    <w:rsid w:val="00907DDB"/>
    <w:rsid w:val="0091016C"/>
    <w:rsid w:val="00910377"/>
    <w:rsid w:val="00910BEC"/>
    <w:rsid w:val="00911275"/>
    <w:rsid w:val="00911595"/>
    <w:rsid w:val="0091186B"/>
    <w:rsid w:val="00911B93"/>
    <w:rsid w:val="00912099"/>
    <w:rsid w:val="009121E1"/>
    <w:rsid w:val="00912347"/>
    <w:rsid w:val="009125EE"/>
    <w:rsid w:val="00913779"/>
    <w:rsid w:val="00913836"/>
    <w:rsid w:val="00913A6B"/>
    <w:rsid w:val="00913C75"/>
    <w:rsid w:val="00914022"/>
    <w:rsid w:val="009141A5"/>
    <w:rsid w:val="009149ED"/>
    <w:rsid w:val="00914DF7"/>
    <w:rsid w:val="00914E24"/>
    <w:rsid w:val="00914F40"/>
    <w:rsid w:val="009152CA"/>
    <w:rsid w:val="009158F5"/>
    <w:rsid w:val="00915B47"/>
    <w:rsid w:val="00915BF4"/>
    <w:rsid w:val="0091601B"/>
    <w:rsid w:val="009163DC"/>
    <w:rsid w:val="009163F0"/>
    <w:rsid w:val="00916AC3"/>
    <w:rsid w:val="00916D81"/>
    <w:rsid w:val="00916E52"/>
    <w:rsid w:val="00916F5D"/>
    <w:rsid w:val="00917093"/>
    <w:rsid w:val="009174AA"/>
    <w:rsid w:val="00917863"/>
    <w:rsid w:val="00917B4D"/>
    <w:rsid w:val="00917E11"/>
    <w:rsid w:val="009200E6"/>
    <w:rsid w:val="00920287"/>
    <w:rsid w:val="00920DF5"/>
    <w:rsid w:val="00920E3E"/>
    <w:rsid w:val="00920EA9"/>
    <w:rsid w:val="00921477"/>
    <w:rsid w:val="0092212B"/>
    <w:rsid w:val="009224D9"/>
    <w:rsid w:val="0092296E"/>
    <w:rsid w:val="00923018"/>
    <w:rsid w:val="009232C9"/>
    <w:rsid w:val="009232F0"/>
    <w:rsid w:val="00923D33"/>
    <w:rsid w:val="00923F55"/>
    <w:rsid w:val="00923FEC"/>
    <w:rsid w:val="0092410C"/>
    <w:rsid w:val="009245BE"/>
    <w:rsid w:val="0092464B"/>
    <w:rsid w:val="009246AE"/>
    <w:rsid w:val="009249BA"/>
    <w:rsid w:val="009249F1"/>
    <w:rsid w:val="00924DF8"/>
    <w:rsid w:val="00924ED0"/>
    <w:rsid w:val="00925040"/>
    <w:rsid w:val="0092512F"/>
    <w:rsid w:val="00925506"/>
    <w:rsid w:val="00925B58"/>
    <w:rsid w:val="00925C78"/>
    <w:rsid w:val="00925CFD"/>
    <w:rsid w:val="00925DD7"/>
    <w:rsid w:val="009261B9"/>
    <w:rsid w:val="009266E2"/>
    <w:rsid w:val="009268CA"/>
    <w:rsid w:val="00926EFC"/>
    <w:rsid w:val="00927044"/>
    <w:rsid w:val="009273DF"/>
    <w:rsid w:val="0092759F"/>
    <w:rsid w:val="009279CA"/>
    <w:rsid w:val="00927A7A"/>
    <w:rsid w:val="00927AC7"/>
    <w:rsid w:val="00927AD9"/>
    <w:rsid w:val="00927D92"/>
    <w:rsid w:val="00927EE1"/>
    <w:rsid w:val="0093071C"/>
    <w:rsid w:val="00930C34"/>
    <w:rsid w:val="00930E73"/>
    <w:rsid w:val="00931126"/>
    <w:rsid w:val="00931A47"/>
    <w:rsid w:val="00931F1A"/>
    <w:rsid w:val="009324B2"/>
    <w:rsid w:val="009325C0"/>
    <w:rsid w:val="00932619"/>
    <w:rsid w:val="00932939"/>
    <w:rsid w:val="00932B22"/>
    <w:rsid w:val="00932C22"/>
    <w:rsid w:val="00932EF4"/>
    <w:rsid w:val="00933103"/>
    <w:rsid w:val="009331E1"/>
    <w:rsid w:val="0093331F"/>
    <w:rsid w:val="00933A01"/>
    <w:rsid w:val="00933E70"/>
    <w:rsid w:val="00933E8B"/>
    <w:rsid w:val="00934464"/>
    <w:rsid w:val="009347FC"/>
    <w:rsid w:val="009350C9"/>
    <w:rsid w:val="00935423"/>
    <w:rsid w:val="00935720"/>
    <w:rsid w:val="00935DDD"/>
    <w:rsid w:val="00935DFF"/>
    <w:rsid w:val="00936123"/>
    <w:rsid w:val="0093637E"/>
    <w:rsid w:val="0093644A"/>
    <w:rsid w:val="00936E05"/>
    <w:rsid w:val="00937347"/>
    <w:rsid w:val="009376E6"/>
    <w:rsid w:val="0093771C"/>
    <w:rsid w:val="009402AC"/>
    <w:rsid w:val="00940686"/>
    <w:rsid w:val="009406F3"/>
    <w:rsid w:val="00940BEE"/>
    <w:rsid w:val="00940E73"/>
    <w:rsid w:val="00940EC2"/>
    <w:rsid w:val="009410C6"/>
    <w:rsid w:val="00941648"/>
    <w:rsid w:val="00941C08"/>
    <w:rsid w:val="0094202D"/>
    <w:rsid w:val="0094208E"/>
    <w:rsid w:val="0094217E"/>
    <w:rsid w:val="009424EB"/>
    <w:rsid w:val="00942ADC"/>
    <w:rsid w:val="00942DAF"/>
    <w:rsid w:val="00942DBD"/>
    <w:rsid w:val="009434A5"/>
    <w:rsid w:val="00943701"/>
    <w:rsid w:val="00943F09"/>
    <w:rsid w:val="009442F6"/>
    <w:rsid w:val="00944432"/>
    <w:rsid w:val="0094446F"/>
    <w:rsid w:val="009447AD"/>
    <w:rsid w:val="0094484E"/>
    <w:rsid w:val="00944C9B"/>
    <w:rsid w:val="00944D06"/>
    <w:rsid w:val="009457D4"/>
    <w:rsid w:val="00945A8A"/>
    <w:rsid w:val="00945C5B"/>
    <w:rsid w:val="00945DDA"/>
    <w:rsid w:val="0094608E"/>
    <w:rsid w:val="00946353"/>
    <w:rsid w:val="00946415"/>
    <w:rsid w:val="00946B4B"/>
    <w:rsid w:val="00947172"/>
    <w:rsid w:val="00947BE3"/>
    <w:rsid w:val="00947C90"/>
    <w:rsid w:val="00947D9F"/>
    <w:rsid w:val="00947EDA"/>
    <w:rsid w:val="00950282"/>
    <w:rsid w:val="009502E0"/>
    <w:rsid w:val="009507F6"/>
    <w:rsid w:val="00950AD9"/>
    <w:rsid w:val="009510DF"/>
    <w:rsid w:val="009513B0"/>
    <w:rsid w:val="009517AB"/>
    <w:rsid w:val="0095187B"/>
    <w:rsid w:val="00951EF5"/>
    <w:rsid w:val="00951F46"/>
    <w:rsid w:val="00952276"/>
    <w:rsid w:val="009523CC"/>
    <w:rsid w:val="0095282C"/>
    <w:rsid w:val="009529A3"/>
    <w:rsid w:val="00952ACF"/>
    <w:rsid w:val="00952C4B"/>
    <w:rsid w:val="00952D05"/>
    <w:rsid w:val="00952D7B"/>
    <w:rsid w:val="00952E4F"/>
    <w:rsid w:val="0095317F"/>
    <w:rsid w:val="0095343E"/>
    <w:rsid w:val="00953504"/>
    <w:rsid w:val="009537B9"/>
    <w:rsid w:val="00953B50"/>
    <w:rsid w:val="00953BE7"/>
    <w:rsid w:val="00953CE8"/>
    <w:rsid w:val="009548B9"/>
    <w:rsid w:val="00954A11"/>
    <w:rsid w:val="00955106"/>
    <w:rsid w:val="00955620"/>
    <w:rsid w:val="0095562E"/>
    <w:rsid w:val="00955646"/>
    <w:rsid w:val="0095597C"/>
    <w:rsid w:val="00956AF3"/>
    <w:rsid w:val="00956DA8"/>
    <w:rsid w:val="00956DC0"/>
    <w:rsid w:val="00957235"/>
    <w:rsid w:val="0095771B"/>
    <w:rsid w:val="009579B8"/>
    <w:rsid w:val="00957AF5"/>
    <w:rsid w:val="00957F20"/>
    <w:rsid w:val="0096024F"/>
    <w:rsid w:val="0096043E"/>
    <w:rsid w:val="009604AB"/>
    <w:rsid w:val="00960E11"/>
    <w:rsid w:val="009611B2"/>
    <w:rsid w:val="0096131B"/>
    <w:rsid w:val="0096141B"/>
    <w:rsid w:val="0096158D"/>
    <w:rsid w:val="00961695"/>
    <w:rsid w:val="00961F86"/>
    <w:rsid w:val="0096271E"/>
    <w:rsid w:val="00962720"/>
    <w:rsid w:val="00962C15"/>
    <w:rsid w:val="00962EAE"/>
    <w:rsid w:val="00963219"/>
    <w:rsid w:val="00963268"/>
    <w:rsid w:val="009635D3"/>
    <w:rsid w:val="00963711"/>
    <w:rsid w:val="009637FD"/>
    <w:rsid w:val="00963869"/>
    <w:rsid w:val="00963937"/>
    <w:rsid w:val="00963EF8"/>
    <w:rsid w:val="009642CC"/>
    <w:rsid w:val="009644BE"/>
    <w:rsid w:val="009644D5"/>
    <w:rsid w:val="00964712"/>
    <w:rsid w:val="00964822"/>
    <w:rsid w:val="0096494D"/>
    <w:rsid w:val="00964B24"/>
    <w:rsid w:val="0096520E"/>
    <w:rsid w:val="00965C3A"/>
    <w:rsid w:val="00965E65"/>
    <w:rsid w:val="00966941"/>
    <w:rsid w:val="00966955"/>
    <w:rsid w:val="009669E8"/>
    <w:rsid w:val="00966B93"/>
    <w:rsid w:val="00966BE0"/>
    <w:rsid w:val="00966E77"/>
    <w:rsid w:val="00967294"/>
    <w:rsid w:val="0096732F"/>
    <w:rsid w:val="00967467"/>
    <w:rsid w:val="009676E7"/>
    <w:rsid w:val="00967AE0"/>
    <w:rsid w:val="00967E8A"/>
    <w:rsid w:val="009702BD"/>
    <w:rsid w:val="00970ACF"/>
    <w:rsid w:val="00970C52"/>
    <w:rsid w:val="00970F69"/>
    <w:rsid w:val="00971682"/>
    <w:rsid w:val="00971A0D"/>
    <w:rsid w:val="00971AE7"/>
    <w:rsid w:val="0097251E"/>
    <w:rsid w:val="00972595"/>
    <w:rsid w:val="009725A8"/>
    <w:rsid w:val="00973024"/>
    <w:rsid w:val="0097335F"/>
    <w:rsid w:val="00973952"/>
    <w:rsid w:val="00973A9C"/>
    <w:rsid w:val="00973C5D"/>
    <w:rsid w:val="009740AA"/>
    <w:rsid w:val="009740B9"/>
    <w:rsid w:val="0097420D"/>
    <w:rsid w:val="00974240"/>
    <w:rsid w:val="009742FD"/>
    <w:rsid w:val="00974642"/>
    <w:rsid w:val="009748E1"/>
    <w:rsid w:val="00974B87"/>
    <w:rsid w:val="00974F08"/>
    <w:rsid w:val="009750AB"/>
    <w:rsid w:val="009751C8"/>
    <w:rsid w:val="0097534D"/>
    <w:rsid w:val="00975697"/>
    <w:rsid w:val="009756F6"/>
    <w:rsid w:val="009757E8"/>
    <w:rsid w:val="0097587B"/>
    <w:rsid w:val="009758E0"/>
    <w:rsid w:val="00975B46"/>
    <w:rsid w:val="00975C86"/>
    <w:rsid w:val="00975D8A"/>
    <w:rsid w:val="009763C4"/>
    <w:rsid w:val="009764F7"/>
    <w:rsid w:val="0097653B"/>
    <w:rsid w:val="00976A04"/>
    <w:rsid w:val="00976CCE"/>
    <w:rsid w:val="00976E81"/>
    <w:rsid w:val="00976EA7"/>
    <w:rsid w:val="00976FFB"/>
    <w:rsid w:val="0097739A"/>
    <w:rsid w:val="00977415"/>
    <w:rsid w:val="00977573"/>
    <w:rsid w:val="00977784"/>
    <w:rsid w:val="00977906"/>
    <w:rsid w:val="00977B3F"/>
    <w:rsid w:val="009808D7"/>
    <w:rsid w:val="009809EB"/>
    <w:rsid w:val="00980CA0"/>
    <w:rsid w:val="00981523"/>
    <w:rsid w:val="00981693"/>
    <w:rsid w:val="00981702"/>
    <w:rsid w:val="00981ACA"/>
    <w:rsid w:val="00981C62"/>
    <w:rsid w:val="00981C6F"/>
    <w:rsid w:val="00981EF5"/>
    <w:rsid w:val="00982092"/>
    <w:rsid w:val="009821D9"/>
    <w:rsid w:val="0098223B"/>
    <w:rsid w:val="00982618"/>
    <w:rsid w:val="0098304F"/>
    <w:rsid w:val="00983425"/>
    <w:rsid w:val="009835FA"/>
    <w:rsid w:val="00983944"/>
    <w:rsid w:val="00983A50"/>
    <w:rsid w:val="00983E36"/>
    <w:rsid w:val="00984353"/>
    <w:rsid w:val="00984542"/>
    <w:rsid w:val="00984EB0"/>
    <w:rsid w:val="00985173"/>
    <w:rsid w:val="009851F7"/>
    <w:rsid w:val="0098550B"/>
    <w:rsid w:val="00985699"/>
    <w:rsid w:val="009857C6"/>
    <w:rsid w:val="00985851"/>
    <w:rsid w:val="00985B06"/>
    <w:rsid w:val="00985BC1"/>
    <w:rsid w:val="00986253"/>
    <w:rsid w:val="00986599"/>
    <w:rsid w:val="009868E2"/>
    <w:rsid w:val="00987048"/>
    <w:rsid w:val="009871DC"/>
    <w:rsid w:val="00987360"/>
    <w:rsid w:val="009873D6"/>
    <w:rsid w:val="00987505"/>
    <w:rsid w:val="009877FD"/>
    <w:rsid w:val="00987A47"/>
    <w:rsid w:val="00987A64"/>
    <w:rsid w:val="00987BFC"/>
    <w:rsid w:val="00987D11"/>
    <w:rsid w:val="00987E7C"/>
    <w:rsid w:val="009900F1"/>
    <w:rsid w:val="0099018B"/>
    <w:rsid w:val="0099026D"/>
    <w:rsid w:val="009905EF"/>
    <w:rsid w:val="00990C06"/>
    <w:rsid w:val="00990C23"/>
    <w:rsid w:val="00990D61"/>
    <w:rsid w:val="00990F45"/>
    <w:rsid w:val="0099106A"/>
    <w:rsid w:val="0099132C"/>
    <w:rsid w:val="00991390"/>
    <w:rsid w:val="00991531"/>
    <w:rsid w:val="00991C55"/>
    <w:rsid w:val="00991FFE"/>
    <w:rsid w:val="00992AD5"/>
    <w:rsid w:val="00992C7C"/>
    <w:rsid w:val="00992F11"/>
    <w:rsid w:val="0099300C"/>
    <w:rsid w:val="009938A6"/>
    <w:rsid w:val="009938B1"/>
    <w:rsid w:val="00993B3F"/>
    <w:rsid w:val="00993B76"/>
    <w:rsid w:val="009944C9"/>
    <w:rsid w:val="009944CD"/>
    <w:rsid w:val="00994C3D"/>
    <w:rsid w:val="00994FC4"/>
    <w:rsid w:val="009950F4"/>
    <w:rsid w:val="009951C7"/>
    <w:rsid w:val="00995250"/>
    <w:rsid w:val="00995298"/>
    <w:rsid w:val="009952EA"/>
    <w:rsid w:val="009953F9"/>
    <w:rsid w:val="00995997"/>
    <w:rsid w:val="00995A1B"/>
    <w:rsid w:val="00995A85"/>
    <w:rsid w:val="00995D24"/>
    <w:rsid w:val="0099607C"/>
    <w:rsid w:val="00996167"/>
    <w:rsid w:val="00996190"/>
    <w:rsid w:val="00996340"/>
    <w:rsid w:val="00996873"/>
    <w:rsid w:val="0099755C"/>
    <w:rsid w:val="00997735"/>
    <w:rsid w:val="00997CD1"/>
    <w:rsid w:val="009A015B"/>
    <w:rsid w:val="009A0611"/>
    <w:rsid w:val="009A076A"/>
    <w:rsid w:val="009A079D"/>
    <w:rsid w:val="009A0946"/>
    <w:rsid w:val="009A0DEB"/>
    <w:rsid w:val="009A0F16"/>
    <w:rsid w:val="009A1629"/>
    <w:rsid w:val="009A1ACD"/>
    <w:rsid w:val="009A1B4A"/>
    <w:rsid w:val="009A1B86"/>
    <w:rsid w:val="009A1C0F"/>
    <w:rsid w:val="009A1C1F"/>
    <w:rsid w:val="009A22B7"/>
    <w:rsid w:val="009A2436"/>
    <w:rsid w:val="009A280D"/>
    <w:rsid w:val="009A2F28"/>
    <w:rsid w:val="009A37CB"/>
    <w:rsid w:val="009A3839"/>
    <w:rsid w:val="009A39C8"/>
    <w:rsid w:val="009A3E82"/>
    <w:rsid w:val="009A3E87"/>
    <w:rsid w:val="009A40F9"/>
    <w:rsid w:val="009A432E"/>
    <w:rsid w:val="009A44BA"/>
    <w:rsid w:val="009A4A59"/>
    <w:rsid w:val="009A4E6D"/>
    <w:rsid w:val="009A4F7F"/>
    <w:rsid w:val="009A51B7"/>
    <w:rsid w:val="009A5734"/>
    <w:rsid w:val="009A59D2"/>
    <w:rsid w:val="009A5C5F"/>
    <w:rsid w:val="009A6511"/>
    <w:rsid w:val="009A6548"/>
    <w:rsid w:val="009A6637"/>
    <w:rsid w:val="009A69A8"/>
    <w:rsid w:val="009A6A8E"/>
    <w:rsid w:val="009A6B6C"/>
    <w:rsid w:val="009A6E3F"/>
    <w:rsid w:val="009A713C"/>
    <w:rsid w:val="009A7182"/>
    <w:rsid w:val="009A7190"/>
    <w:rsid w:val="009A774C"/>
    <w:rsid w:val="009A774F"/>
    <w:rsid w:val="009A77F4"/>
    <w:rsid w:val="009A7AD6"/>
    <w:rsid w:val="009A7DCE"/>
    <w:rsid w:val="009A7E68"/>
    <w:rsid w:val="009B0172"/>
    <w:rsid w:val="009B0287"/>
    <w:rsid w:val="009B04FE"/>
    <w:rsid w:val="009B07A3"/>
    <w:rsid w:val="009B094F"/>
    <w:rsid w:val="009B0AA4"/>
    <w:rsid w:val="009B0B96"/>
    <w:rsid w:val="009B1006"/>
    <w:rsid w:val="009B1101"/>
    <w:rsid w:val="009B1AC3"/>
    <w:rsid w:val="009B1C93"/>
    <w:rsid w:val="009B1D41"/>
    <w:rsid w:val="009B1D52"/>
    <w:rsid w:val="009B2054"/>
    <w:rsid w:val="009B24BE"/>
    <w:rsid w:val="009B295C"/>
    <w:rsid w:val="009B2993"/>
    <w:rsid w:val="009B2A33"/>
    <w:rsid w:val="009B2ADE"/>
    <w:rsid w:val="009B2B4F"/>
    <w:rsid w:val="009B2E5A"/>
    <w:rsid w:val="009B3051"/>
    <w:rsid w:val="009B312F"/>
    <w:rsid w:val="009B34AE"/>
    <w:rsid w:val="009B35A7"/>
    <w:rsid w:val="009B3668"/>
    <w:rsid w:val="009B39F4"/>
    <w:rsid w:val="009B3B84"/>
    <w:rsid w:val="009B3BD3"/>
    <w:rsid w:val="009B409F"/>
    <w:rsid w:val="009B4150"/>
    <w:rsid w:val="009B497D"/>
    <w:rsid w:val="009B577E"/>
    <w:rsid w:val="009B57AB"/>
    <w:rsid w:val="009B5CBA"/>
    <w:rsid w:val="009B5F1D"/>
    <w:rsid w:val="009B5FF1"/>
    <w:rsid w:val="009B609A"/>
    <w:rsid w:val="009B60AE"/>
    <w:rsid w:val="009B6805"/>
    <w:rsid w:val="009B6831"/>
    <w:rsid w:val="009B69B8"/>
    <w:rsid w:val="009B6C09"/>
    <w:rsid w:val="009B735C"/>
    <w:rsid w:val="009B742E"/>
    <w:rsid w:val="009B75CF"/>
    <w:rsid w:val="009B7662"/>
    <w:rsid w:val="009B7754"/>
    <w:rsid w:val="009B7915"/>
    <w:rsid w:val="009B7AEE"/>
    <w:rsid w:val="009B7BBF"/>
    <w:rsid w:val="009B7F41"/>
    <w:rsid w:val="009B7FC2"/>
    <w:rsid w:val="009C0759"/>
    <w:rsid w:val="009C08C2"/>
    <w:rsid w:val="009C0A29"/>
    <w:rsid w:val="009C0F78"/>
    <w:rsid w:val="009C1219"/>
    <w:rsid w:val="009C12FC"/>
    <w:rsid w:val="009C1F1C"/>
    <w:rsid w:val="009C1F3A"/>
    <w:rsid w:val="009C2577"/>
    <w:rsid w:val="009C2C42"/>
    <w:rsid w:val="009C345F"/>
    <w:rsid w:val="009C3D03"/>
    <w:rsid w:val="009C409C"/>
    <w:rsid w:val="009C41D3"/>
    <w:rsid w:val="009C4281"/>
    <w:rsid w:val="009C45F8"/>
    <w:rsid w:val="009C476B"/>
    <w:rsid w:val="009C4C92"/>
    <w:rsid w:val="009C5196"/>
    <w:rsid w:val="009C5691"/>
    <w:rsid w:val="009C656C"/>
    <w:rsid w:val="009C6A69"/>
    <w:rsid w:val="009C6B6F"/>
    <w:rsid w:val="009C6ECF"/>
    <w:rsid w:val="009C71B4"/>
    <w:rsid w:val="009C76B8"/>
    <w:rsid w:val="009C7848"/>
    <w:rsid w:val="009C7869"/>
    <w:rsid w:val="009C7978"/>
    <w:rsid w:val="009C7A1C"/>
    <w:rsid w:val="009C7BEA"/>
    <w:rsid w:val="009C7CAA"/>
    <w:rsid w:val="009C7D00"/>
    <w:rsid w:val="009C7FEC"/>
    <w:rsid w:val="009D03CD"/>
    <w:rsid w:val="009D04B9"/>
    <w:rsid w:val="009D06CF"/>
    <w:rsid w:val="009D07E5"/>
    <w:rsid w:val="009D0FA9"/>
    <w:rsid w:val="009D0FB2"/>
    <w:rsid w:val="009D10BB"/>
    <w:rsid w:val="009D10E4"/>
    <w:rsid w:val="009D13D4"/>
    <w:rsid w:val="009D1BB6"/>
    <w:rsid w:val="009D1CC7"/>
    <w:rsid w:val="009D2419"/>
    <w:rsid w:val="009D25BB"/>
    <w:rsid w:val="009D274A"/>
    <w:rsid w:val="009D2E26"/>
    <w:rsid w:val="009D323E"/>
    <w:rsid w:val="009D3869"/>
    <w:rsid w:val="009D3CB0"/>
    <w:rsid w:val="009D3CB6"/>
    <w:rsid w:val="009D3CC4"/>
    <w:rsid w:val="009D3CE5"/>
    <w:rsid w:val="009D3D99"/>
    <w:rsid w:val="009D3E57"/>
    <w:rsid w:val="009D3F78"/>
    <w:rsid w:val="009D436B"/>
    <w:rsid w:val="009D43F6"/>
    <w:rsid w:val="009D44B0"/>
    <w:rsid w:val="009D49A6"/>
    <w:rsid w:val="009D4B0F"/>
    <w:rsid w:val="009D4BC8"/>
    <w:rsid w:val="009D50FA"/>
    <w:rsid w:val="009D5223"/>
    <w:rsid w:val="009D53AF"/>
    <w:rsid w:val="009D54DC"/>
    <w:rsid w:val="009D5674"/>
    <w:rsid w:val="009D5726"/>
    <w:rsid w:val="009D58BF"/>
    <w:rsid w:val="009D5981"/>
    <w:rsid w:val="009D5B8C"/>
    <w:rsid w:val="009D5E8B"/>
    <w:rsid w:val="009D641B"/>
    <w:rsid w:val="009D6A67"/>
    <w:rsid w:val="009D71A2"/>
    <w:rsid w:val="009D7308"/>
    <w:rsid w:val="009D73A7"/>
    <w:rsid w:val="009D75CF"/>
    <w:rsid w:val="009D7AA9"/>
    <w:rsid w:val="009D7B1F"/>
    <w:rsid w:val="009D7D99"/>
    <w:rsid w:val="009D7FEF"/>
    <w:rsid w:val="009E00FD"/>
    <w:rsid w:val="009E04DE"/>
    <w:rsid w:val="009E09B2"/>
    <w:rsid w:val="009E0B81"/>
    <w:rsid w:val="009E1880"/>
    <w:rsid w:val="009E1B65"/>
    <w:rsid w:val="009E1C56"/>
    <w:rsid w:val="009E1CE4"/>
    <w:rsid w:val="009E1DCA"/>
    <w:rsid w:val="009E1ED3"/>
    <w:rsid w:val="009E20BE"/>
    <w:rsid w:val="009E22B3"/>
    <w:rsid w:val="009E3745"/>
    <w:rsid w:val="009E3838"/>
    <w:rsid w:val="009E38E7"/>
    <w:rsid w:val="009E3AE0"/>
    <w:rsid w:val="009E3ECF"/>
    <w:rsid w:val="009E3F02"/>
    <w:rsid w:val="009E4D11"/>
    <w:rsid w:val="009E55EC"/>
    <w:rsid w:val="009E56D1"/>
    <w:rsid w:val="009E5952"/>
    <w:rsid w:val="009E5A95"/>
    <w:rsid w:val="009E5B41"/>
    <w:rsid w:val="009E5BE7"/>
    <w:rsid w:val="009E5C3B"/>
    <w:rsid w:val="009E5EE3"/>
    <w:rsid w:val="009E5FA2"/>
    <w:rsid w:val="009E6374"/>
    <w:rsid w:val="009E7095"/>
    <w:rsid w:val="009E761F"/>
    <w:rsid w:val="009E7839"/>
    <w:rsid w:val="009E7ACC"/>
    <w:rsid w:val="009E7AD3"/>
    <w:rsid w:val="009E7C3D"/>
    <w:rsid w:val="009E7CA5"/>
    <w:rsid w:val="009E7CEA"/>
    <w:rsid w:val="009E7D89"/>
    <w:rsid w:val="009E7F77"/>
    <w:rsid w:val="009F018F"/>
    <w:rsid w:val="009F01A3"/>
    <w:rsid w:val="009F04D5"/>
    <w:rsid w:val="009F05AD"/>
    <w:rsid w:val="009F0D1F"/>
    <w:rsid w:val="009F121B"/>
    <w:rsid w:val="009F134A"/>
    <w:rsid w:val="009F151E"/>
    <w:rsid w:val="009F1748"/>
    <w:rsid w:val="009F179E"/>
    <w:rsid w:val="009F1D2A"/>
    <w:rsid w:val="009F1EC2"/>
    <w:rsid w:val="009F2097"/>
    <w:rsid w:val="009F2153"/>
    <w:rsid w:val="009F2A7D"/>
    <w:rsid w:val="009F2BFB"/>
    <w:rsid w:val="009F30B3"/>
    <w:rsid w:val="009F3125"/>
    <w:rsid w:val="009F3645"/>
    <w:rsid w:val="009F36E1"/>
    <w:rsid w:val="009F3AE3"/>
    <w:rsid w:val="009F466D"/>
    <w:rsid w:val="009F4B6C"/>
    <w:rsid w:val="009F4F08"/>
    <w:rsid w:val="009F5009"/>
    <w:rsid w:val="009F54E4"/>
    <w:rsid w:val="009F55AD"/>
    <w:rsid w:val="009F5E0A"/>
    <w:rsid w:val="009F6B2C"/>
    <w:rsid w:val="009F7BA0"/>
    <w:rsid w:val="009F7CE0"/>
    <w:rsid w:val="009F7E57"/>
    <w:rsid w:val="00A000B2"/>
    <w:rsid w:val="00A000E3"/>
    <w:rsid w:val="00A00C76"/>
    <w:rsid w:val="00A0121F"/>
    <w:rsid w:val="00A0221E"/>
    <w:rsid w:val="00A0275A"/>
    <w:rsid w:val="00A02BC3"/>
    <w:rsid w:val="00A02FC4"/>
    <w:rsid w:val="00A0378E"/>
    <w:rsid w:val="00A03867"/>
    <w:rsid w:val="00A03C3F"/>
    <w:rsid w:val="00A03CE5"/>
    <w:rsid w:val="00A03D8D"/>
    <w:rsid w:val="00A03DC9"/>
    <w:rsid w:val="00A04252"/>
    <w:rsid w:val="00A059DA"/>
    <w:rsid w:val="00A05B74"/>
    <w:rsid w:val="00A05CD4"/>
    <w:rsid w:val="00A05D2B"/>
    <w:rsid w:val="00A05E1F"/>
    <w:rsid w:val="00A05ECF"/>
    <w:rsid w:val="00A05EF7"/>
    <w:rsid w:val="00A0606B"/>
    <w:rsid w:val="00A068A3"/>
    <w:rsid w:val="00A06DD0"/>
    <w:rsid w:val="00A06E8C"/>
    <w:rsid w:val="00A07523"/>
    <w:rsid w:val="00A07ED1"/>
    <w:rsid w:val="00A10939"/>
    <w:rsid w:val="00A10963"/>
    <w:rsid w:val="00A10ACD"/>
    <w:rsid w:val="00A11336"/>
    <w:rsid w:val="00A113AC"/>
    <w:rsid w:val="00A1165C"/>
    <w:rsid w:val="00A116E1"/>
    <w:rsid w:val="00A117F2"/>
    <w:rsid w:val="00A1193B"/>
    <w:rsid w:val="00A11A4D"/>
    <w:rsid w:val="00A120E6"/>
    <w:rsid w:val="00A12156"/>
    <w:rsid w:val="00A1262D"/>
    <w:rsid w:val="00A1286E"/>
    <w:rsid w:val="00A12900"/>
    <w:rsid w:val="00A12970"/>
    <w:rsid w:val="00A129B3"/>
    <w:rsid w:val="00A129ED"/>
    <w:rsid w:val="00A12AD9"/>
    <w:rsid w:val="00A12D76"/>
    <w:rsid w:val="00A12F36"/>
    <w:rsid w:val="00A1314C"/>
    <w:rsid w:val="00A133AA"/>
    <w:rsid w:val="00A13518"/>
    <w:rsid w:val="00A136DD"/>
    <w:rsid w:val="00A13E48"/>
    <w:rsid w:val="00A14186"/>
    <w:rsid w:val="00A14AF7"/>
    <w:rsid w:val="00A14C3C"/>
    <w:rsid w:val="00A14E86"/>
    <w:rsid w:val="00A150B5"/>
    <w:rsid w:val="00A151DA"/>
    <w:rsid w:val="00A15254"/>
    <w:rsid w:val="00A15326"/>
    <w:rsid w:val="00A15369"/>
    <w:rsid w:val="00A1575E"/>
    <w:rsid w:val="00A16110"/>
    <w:rsid w:val="00A16158"/>
    <w:rsid w:val="00A161E0"/>
    <w:rsid w:val="00A161E3"/>
    <w:rsid w:val="00A167DA"/>
    <w:rsid w:val="00A16B2A"/>
    <w:rsid w:val="00A16D40"/>
    <w:rsid w:val="00A170B1"/>
    <w:rsid w:val="00A1752F"/>
    <w:rsid w:val="00A175AE"/>
    <w:rsid w:val="00A17615"/>
    <w:rsid w:val="00A17E93"/>
    <w:rsid w:val="00A20C09"/>
    <w:rsid w:val="00A2115E"/>
    <w:rsid w:val="00A2179F"/>
    <w:rsid w:val="00A21A9C"/>
    <w:rsid w:val="00A221B6"/>
    <w:rsid w:val="00A2285A"/>
    <w:rsid w:val="00A22D58"/>
    <w:rsid w:val="00A230F6"/>
    <w:rsid w:val="00A23A20"/>
    <w:rsid w:val="00A23B38"/>
    <w:rsid w:val="00A23CBA"/>
    <w:rsid w:val="00A23FD4"/>
    <w:rsid w:val="00A24050"/>
    <w:rsid w:val="00A24232"/>
    <w:rsid w:val="00A242FC"/>
    <w:rsid w:val="00A2440C"/>
    <w:rsid w:val="00A24787"/>
    <w:rsid w:val="00A24E20"/>
    <w:rsid w:val="00A25079"/>
    <w:rsid w:val="00A25379"/>
    <w:rsid w:val="00A25A32"/>
    <w:rsid w:val="00A25EB0"/>
    <w:rsid w:val="00A25FD5"/>
    <w:rsid w:val="00A2613F"/>
    <w:rsid w:val="00A26149"/>
    <w:rsid w:val="00A26176"/>
    <w:rsid w:val="00A26249"/>
    <w:rsid w:val="00A2650C"/>
    <w:rsid w:val="00A26957"/>
    <w:rsid w:val="00A26D67"/>
    <w:rsid w:val="00A273BD"/>
    <w:rsid w:val="00A2759D"/>
    <w:rsid w:val="00A275EC"/>
    <w:rsid w:val="00A304B6"/>
    <w:rsid w:val="00A305C7"/>
    <w:rsid w:val="00A305F2"/>
    <w:rsid w:val="00A306CD"/>
    <w:rsid w:val="00A30BB2"/>
    <w:rsid w:val="00A30F8C"/>
    <w:rsid w:val="00A31310"/>
    <w:rsid w:val="00A313B1"/>
    <w:rsid w:val="00A31C16"/>
    <w:rsid w:val="00A31D2D"/>
    <w:rsid w:val="00A322DC"/>
    <w:rsid w:val="00A32555"/>
    <w:rsid w:val="00A32651"/>
    <w:rsid w:val="00A32C6A"/>
    <w:rsid w:val="00A32CA3"/>
    <w:rsid w:val="00A3330A"/>
    <w:rsid w:val="00A33579"/>
    <w:rsid w:val="00A33970"/>
    <w:rsid w:val="00A34044"/>
    <w:rsid w:val="00A3470F"/>
    <w:rsid w:val="00A34757"/>
    <w:rsid w:val="00A34849"/>
    <w:rsid w:val="00A34BDE"/>
    <w:rsid w:val="00A34D2C"/>
    <w:rsid w:val="00A351E9"/>
    <w:rsid w:val="00A353B2"/>
    <w:rsid w:val="00A356FD"/>
    <w:rsid w:val="00A35752"/>
    <w:rsid w:val="00A358F4"/>
    <w:rsid w:val="00A35E86"/>
    <w:rsid w:val="00A36328"/>
    <w:rsid w:val="00A364F4"/>
    <w:rsid w:val="00A36781"/>
    <w:rsid w:val="00A36A59"/>
    <w:rsid w:val="00A36A6C"/>
    <w:rsid w:val="00A36CD0"/>
    <w:rsid w:val="00A36F43"/>
    <w:rsid w:val="00A37277"/>
    <w:rsid w:val="00A3750D"/>
    <w:rsid w:val="00A376CF"/>
    <w:rsid w:val="00A37A23"/>
    <w:rsid w:val="00A37B7A"/>
    <w:rsid w:val="00A37EF7"/>
    <w:rsid w:val="00A4029E"/>
    <w:rsid w:val="00A40C66"/>
    <w:rsid w:val="00A40D17"/>
    <w:rsid w:val="00A40D8D"/>
    <w:rsid w:val="00A40DB2"/>
    <w:rsid w:val="00A416A5"/>
    <w:rsid w:val="00A41979"/>
    <w:rsid w:val="00A41C1A"/>
    <w:rsid w:val="00A428EB"/>
    <w:rsid w:val="00A42FBA"/>
    <w:rsid w:val="00A432C1"/>
    <w:rsid w:val="00A436BC"/>
    <w:rsid w:val="00A4382F"/>
    <w:rsid w:val="00A43A47"/>
    <w:rsid w:val="00A43E42"/>
    <w:rsid w:val="00A43F70"/>
    <w:rsid w:val="00A4428C"/>
    <w:rsid w:val="00A44559"/>
    <w:rsid w:val="00A44622"/>
    <w:rsid w:val="00A448F7"/>
    <w:rsid w:val="00A45636"/>
    <w:rsid w:val="00A45639"/>
    <w:rsid w:val="00A45685"/>
    <w:rsid w:val="00A456EE"/>
    <w:rsid w:val="00A45B58"/>
    <w:rsid w:val="00A45BB2"/>
    <w:rsid w:val="00A45C5C"/>
    <w:rsid w:val="00A46059"/>
    <w:rsid w:val="00A4625C"/>
    <w:rsid w:val="00A46DD9"/>
    <w:rsid w:val="00A471C0"/>
    <w:rsid w:val="00A4722A"/>
    <w:rsid w:val="00A47631"/>
    <w:rsid w:val="00A4768B"/>
    <w:rsid w:val="00A47E03"/>
    <w:rsid w:val="00A47FB8"/>
    <w:rsid w:val="00A500EA"/>
    <w:rsid w:val="00A50380"/>
    <w:rsid w:val="00A50577"/>
    <w:rsid w:val="00A50ED7"/>
    <w:rsid w:val="00A50FAC"/>
    <w:rsid w:val="00A51042"/>
    <w:rsid w:val="00A5126E"/>
    <w:rsid w:val="00A5183F"/>
    <w:rsid w:val="00A51DA2"/>
    <w:rsid w:val="00A51EBC"/>
    <w:rsid w:val="00A51F62"/>
    <w:rsid w:val="00A52170"/>
    <w:rsid w:val="00A522CC"/>
    <w:rsid w:val="00A52965"/>
    <w:rsid w:val="00A52DB3"/>
    <w:rsid w:val="00A52EEA"/>
    <w:rsid w:val="00A534ED"/>
    <w:rsid w:val="00A53767"/>
    <w:rsid w:val="00A537CE"/>
    <w:rsid w:val="00A541C2"/>
    <w:rsid w:val="00A542A8"/>
    <w:rsid w:val="00A543C0"/>
    <w:rsid w:val="00A54416"/>
    <w:rsid w:val="00A5447F"/>
    <w:rsid w:val="00A5495E"/>
    <w:rsid w:val="00A54BB8"/>
    <w:rsid w:val="00A54DBF"/>
    <w:rsid w:val="00A54F71"/>
    <w:rsid w:val="00A54F89"/>
    <w:rsid w:val="00A5500D"/>
    <w:rsid w:val="00A5500E"/>
    <w:rsid w:val="00A55197"/>
    <w:rsid w:val="00A552E0"/>
    <w:rsid w:val="00A5530F"/>
    <w:rsid w:val="00A56079"/>
    <w:rsid w:val="00A56219"/>
    <w:rsid w:val="00A563C7"/>
    <w:rsid w:val="00A56521"/>
    <w:rsid w:val="00A566A9"/>
    <w:rsid w:val="00A56A21"/>
    <w:rsid w:val="00A56A96"/>
    <w:rsid w:val="00A56CA2"/>
    <w:rsid w:val="00A57543"/>
    <w:rsid w:val="00A575F5"/>
    <w:rsid w:val="00A577FE"/>
    <w:rsid w:val="00A57837"/>
    <w:rsid w:val="00A57AA7"/>
    <w:rsid w:val="00A57CA0"/>
    <w:rsid w:val="00A57D2F"/>
    <w:rsid w:val="00A57F48"/>
    <w:rsid w:val="00A6054E"/>
    <w:rsid w:val="00A607C2"/>
    <w:rsid w:val="00A60808"/>
    <w:rsid w:val="00A60ACD"/>
    <w:rsid w:val="00A60F2E"/>
    <w:rsid w:val="00A6110D"/>
    <w:rsid w:val="00A61285"/>
    <w:rsid w:val="00A61A8B"/>
    <w:rsid w:val="00A61A9F"/>
    <w:rsid w:val="00A61B7F"/>
    <w:rsid w:val="00A61D94"/>
    <w:rsid w:val="00A61E33"/>
    <w:rsid w:val="00A61EBC"/>
    <w:rsid w:val="00A61F74"/>
    <w:rsid w:val="00A622DC"/>
    <w:rsid w:val="00A623D8"/>
    <w:rsid w:val="00A6248B"/>
    <w:rsid w:val="00A6255F"/>
    <w:rsid w:val="00A62946"/>
    <w:rsid w:val="00A62AFC"/>
    <w:rsid w:val="00A62C90"/>
    <w:rsid w:val="00A630A4"/>
    <w:rsid w:val="00A63258"/>
    <w:rsid w:val="00A6349E"/>
    <w:rsid w:val="00A63970"/>
    <w:rsid w:val="00A63A6D"/>
    <w:rsid w:val="00A63CE4"/>
    <w:rsid w:val="00A63E4E"/>
    <w:rsid w:val="00A63F13"/>
    <w:rsid w:val="00A63F99"/>
    <w:rsid w:val="00A6437B"/>
    <w:rsid w:val="00A643F9"/>
    <w:rsid w:val="00A64D1F"/>
    <w:rsid w:val="00A651B0"/>
    <w:rsid w:val="00A65428"/>
    <w:rsid w:val="00A65595"/>
    <w:rsid w:val="00A65C4B"/>
    <w:rsid w:val="00A65E7B"/>
    <w:rsid w:val="00A65ED4"/>
    <w:rsid w:val="00A66292"/>
    <w:rsid w:val="00A66369"/>
    <w:rsid w:val="00A666BF"/>
    <w:rsid w:val="00A666DF"/>
    <w:rsid w:val="00A66844"/>
    <w:rsid w:val="00A66993"/>
    <w:rsid w:val="00A66B5B"/>
    <w:rsid w:val="00A66D89"/>
    <w:rsid w:val="00A67054"/>
    <w:rsid w:val="00A67117"/>
    <w:rsid w:val="00A675EA"/>
    <w:rsid w:val="00A67B65"/>
    <w:rsid w:val="00A67D31"/>
    <w:rsid w:val="00A700D8"/>
    <w:rsid w:val="00A7070C"/>
    <w:rsid w:val="00A70D34"/>
    <w:rsid w:val="00A710A6"/>
    <w:rsid w:val="00A7124F"/>
    <w:rsid w:val="00A7171A"/>
    <w:rsid w:val="00A71B22"/>
    <w:rsid w:val="00A71F3B"/>
    <w:rsid w:val="00A71FD6"/>
    <w:rsid w:val="00A7210E"/>
    <w:rsid w:val="00A721EE"/>
    <w:rsid w:val="00A7256F"/>
    <w:rsid w:val="00A725FD"/>
    <w:rsid w:val="00A726CB"/>
    <w:rsid w:val="00A72A46"/>
    <w:rsid w:val="00A72D87"/>
    <w:rsid w:val="00A72F83"/>
    <w:rsid w:val="00A731E4"/>
    <w:rsid w:val="00A73236"/>
    <w:rsid w:val="00A73497"/>
    <w:rsid w:val="00A740F5"/>
    <w:rsid w:val="00A744D1"/>
    <w:rsid w:val="00A7468D"/>
    <w:rsid w:val="00A746E3"/>
    <w:rsid w:val="00A746F9"/>
    <w:rsid w:val="00A74AEF"/>
    <w:rsid w:val="00A74AF0"/>
    <w:rsid w:val="00A74E98"/>
    <w:rsid w:val="00A75587"/>
    <w:rsid w:val="00A756E6"/>
    <w:rsid w:val="00A758DD"/>
    <w:rsid w:val="00A75B0E"/>
    <w:rsid w:val="00A75CD8"/>
    <w:rsid w:val="00A76947"/>
    <w:rsid w:val="00A76E15"/>
    <w:rsid w:val="00A773F4"/>
    <w:rsid w:val="00A779EE"/>
    <w:rsid w:val="00A77E07"/>
    <w:rsid w:val="00A77EA3"/>
    <w:rsid w:val="00A77EB2"/>
    <w:rsid w:val="00A80081"/>
    <w:rsid w:val="00A8066F"/>
    <w:rsid w:val="00A80720"/>
    <w:rsid w:val="00A80BE3"/>
    <w:rsid w:val="00A81097"/>
    <w:rsid w:val="00A811E9"/>
    <w:rsid w:val="00A815DF"/>
    <w:rsid w:val="00A81712"/>
    <w:rsid w:val="00A81840"/>
    <w:rsid w:val="00A81866"/>
    <w:rsid w:val="00A81AF7"/>
    <w:rsid w:val="00A81DD3"/>
    <w:rsid w:val="00A82148"/>
    <w:rsid w:val="00A82941"/>
    <w:rsid w:val="00A82942"/>
    <w:rsid w:val="00A82A26"/>
    <w:rsid w:val="00A82BD1"/>
    <w:rsid w:val="00A82F12"/>
    <w:rsid w:val="00A82F5B"/>
    <w:rsid w:val="00A8352F"/>
    <w:rsid w:val="00A83FD4"/>
    <w:rsid w:val="00A840DF"/>
    <w:rsid w:val="00A84750"/>
    <w:rsid w:val="00A848CC"/>
    <w:rsid w:val="00A84CF5"/>
    <w:rsid w:val="00A859E7"/>
    <w:rsid w:val="00A85A1B"/>
    <w:rsid w:val="00A85C4D"/>
    <w:rsid w:val="00A85C87"/>
    <w:rsid w:val="00A86B10"/>
    <w:rsid w:val="00A86E6F"/>
    <w:rsid w:val="00A86FB2"/>
    <w:rsid w:val="00A87246"/>
    <w:rsid w:val="00A874D0"/>
    <w:rsid w:val="00A878AF"/>
    <w:rsid w:val="00A878F6"/>
    <w:rsid w:val="00A87AA1"/>
    <w:rsid w:val="00A87B49"/>
    <w:rsid w:val="00A87B5C"/>
    <w:rsid w:val="00A87C21"/>
    <w:rsid w:val="00A90080"/>
    <w:rsid w:val="00A901B8"/>
    <w:rsid w:val="00A90313"/>
    <w:rsid w:val="00A903B5"/>
    <w:rsid w:val="00A903F3"/>
    <w:rsid w:val="00A904AC"/>
    <w:rsid w:val="00A90519"/>
    <w:rsid w:val="00A9083D"/>
    <w:rsid w:val="00A90F04"/>
    <w:rsid w:val="00A90F4E"/>
    <w:rsid w:val="00A90F96"/>
    <w:rsid w:val="00A91066"/>
    <w:rsid w:val="00A919C9"/>
    <w:rsid w:val="00A92127"/>
    <w:rsid w:val="00A92173"/>
    <w:rsid w:val="00A922DA"/>
    <w:rsid w:val="00A92499"/>
    <w:rsid w:val="00A92BAA"/>
    <w:rsid w:val="00A92D85"/>
    <w:rsid w:val="00A92F76"/>
    <w:rsid w:val="00A9335E"/>
    <w:rsid w:val="00A935AC"/>
    <w:rsid w:val="00A93BBA"/>
    <w:rsid w:val="00A9427A"/>
    <w:rsid w:val="00A945E0"/>
    <w:rsid w:val="00A94939"/>
    <w:rsid w:val="00A94D98"/>
    <w:rsid w:val="00A94DDF"/>
    <w:rsid w:val="00A954A5"/>
    <w:rsid w:val="00A955E3"/>
    <w:rsid w:val="00A96167"/>
    <w:rsid w:val="00A96189"/>
    <w:rsid w:val="00A962AD"/>
    <w:rsid w:val="00A9664E"/>
    <w:rsid w:val="00A967E4"/>
    <w:rsid w:val="00A96B11"/>
    <w:rsid w:val="00A970A3"/>
    <w:rsid w:val="00A97259"/>
    <w:rsid w:val="00A97514"/>
    <w:rsid w:val="00A9768C"/>
    <w:rsid w:val="00A978E5"/>
    <w:rsid w:val="00A97AA1"/>
    <w:rsid w:val="00A97B71"/>
    <w:rsid w:val="00A97BC2"/>
    <w:rsid w:val="00AA0084"/>
    <w:rsid w:val="00AA02F1"/>
    <w:rsid w:val="00AA04E5"/>
    <w:rsid w:val="00AA058F"/>
    <w:rsid w:val="00AA0684"/>
    <w:rsid w:val="00AA08D1"/>
    <w:rsid w:val="00AA0A12"/>
    <w:rsid w:val="00AA0BD8"/>
    <w:rsid w:val="00AA0E81"/>
    <w:rsid w:val="00AA0F33"/>
    <w:rsid w:val="00AA1008"/>
    <w:rsid w:val="00AA1197"/>
    <w:rsid w:val="00AA13B1"/>
    <w:rsid w:val="00AA13EF"/>
    <w:rsid w:val="00AA1531"/>
    <w:rsid w:val="00AA16DF"/>
    <w:rsid w:val="00AA1D02"/>
    <w:rsid w:val="00AA1D97"/>
    <w:rsid w:val="00AA1E20"/>
    <w:rsid w:val="00AA1E88"/>
    <w:rsid w:val="00AA22DC"/>
    <w:rsid w:val="00AA244E"/>
    <w:rsid w:val="00AA2709"/>
    <w:rsid w:val="00AA2D9F"/>
    <w:rsid w:val="00AA32AC"/>
    <w:rsid w:val="00AA32E6"/>
    <w:rsid w:val="00AA4228"/>
    <w:rsid w:val="00AA44EB"/>
    <w:rsid w:val="00AA4586"/>
    <w:rsid w:val="00AA493D"/>
    <w:rsid w:val="00AA4A1B"/>
    <w:rsid w:val="00AA51CE"/>
    <w:rsid w:val="00AA59DB"/>
    <w:rsid w:val="00AA61C6"/>
    <w:rsid w:val="00AA6BF4"/>
    <w:rsid w:val="00AA6C26"/>
    <w:rsid w:val="00AA6D88"/>
    <w:rsid w:val="00AA6EA6"/>
    <w:rsid w:val="00AA6F32"/>
    <w:rsid w:val="00AA6F82"/>
    <w:rsid w:val="00AA74E8"/>
    <w:rsid w:val="00AA761C"/>
    <w:rsid w:val="00AA7734"/>
    <w:rsid w:val="00AA7754"/>
    <w:rsid w:val="00AA7C39"/>
    <w:rsid w:val="00AA7F3C"/>
    <w:rsid w:val="00AB06AB"/>
    <w:rsid w:val="00AB095B"/>
    <w:rsid w:val="00AB0979"/>
    <w:rsid w:val="00AB0A8A"/>
    <w:rsid w:val="00AB0B61"/>
    <w:rsid w:val="00AB0CDE"/>
    <w:rsid w:val="00AB1B3F"/>
    <w:rsid w:val="00AB1E87"/>
    <w:rsid w:val="00AB2200"/>
    <w:rsid w:val="00AB220F"/>
    <w:rsid w:val="00AB2435"/>
    <w:rsid w:val="00AB2442"/>
    <w:rsid w:val="00AB253A"/>
    <w:rsid w:val="00AB2548"/>
    <w:rsid w:val="00AB25CF"/>
    <w:rsid w:val="00AB2848"/>
    <w:rsid w:val="00AB2B4B"/>
    <w:rsid w:val="00AB3373"/>
    <w:rsid w:val="00AB367E"/>
    <w:rsid w:val="00AB384B"/>
    <w:rsid w:val="00AB38A7"/>
    <w:rsid w:val="00AB38CC"/>
    <w:rsid w:val="00AB395B"/>
    <w:rsid w:val="00AB3A10"/>
    <w:rsid w:val="00AB3E4E"/>
    <w:rsid w:val="00AB3F09"/>
    <w:rsid w:val="00AB3F71"/>
    <w:rsid w:val="00AB410E"/>
    <w:rsid w:val="00AB45EB"/>
    <w:rsid w:val="00AB4664"/>
    <w:rsid w:val="00AB4816"/>
    <w:rsid w:val="00AB4A19"/>
    <w:rsid w:val="00AB548D"/>
    <w:rsid w:val="00AB569A"/>
    <w:rsid w:val="00AB5CA5"/>
    <w:rsid w:val="00AB5F18"/>
    <w:rsid w:val="00AB6086"/>
    <w:rsid w:val="00AB612E"/>
    <w:rsid w:val="00AB619C"/>
    <w:rsid w:val="00AB6394"/>
    <w:rsid w:val="00AB6442"/>
    <w:rsid w:val="00AB6586"/>
    <w:rsid w:val="00AB6813"/>
    <w:rsid w:val="00AB702C"/>
    <w:rsid w:val="00AB7413"/>
    <w:rsid w:val="00AB7540"/>
    <w:rsid w:val="00AB7557"/>
    <w:rsid w:val="00AB7964"/>
    <w:rsid w:val="00AB7C75"/>
    <w:rsid w:val="00AB7CB9"/>
    <w:rsid w:val="00AB7DE1"/>
    <w:rsid w:val="00AB7E8F"/>
    <w:rsid w:val="00AB7EB7"/>
    <w:rsid w:val="00AC0551"/>
    <w:rsid w:val="00AC0553"/>
    <w:rsid w:val="00AC0B62"/>
    <w:rsid w:val="00AC0FAD"/>
    <w:rsid w:val="00AC13B9"/>
    <w:rsid w:val="00AC13D3"/>
    <w:rsid w:val="00AC1495"/>
    <w:rsid w:val="00AC14A7"/>
    <w:rsid w:val="00AC15A4"/>
    <w:rsid w:val="00AC1942"/>
    <w:rsid w:val="00AC1CBC"/>
    <w:rsid w:val="00AC1DC9"/>
    <w:rsid w:val="00AC1DF0"/>
    <w:rsid w:val="00AC2022"/>
    <w:rsid w:val="00AC224F"/>
    <w:rsid w:val="00AC24BC"/>
    <w:rsid w:val="00AC24DE"/>
    <w:rsid w:val="00AC25F5"/>
    <w:rsid w:val="00AC2930"/>
    <w:rsid w:val="00AC2B33"/>
    <w:rsid w:val="00AC2D40"/>
    <w:rsid w:val="00AC32B5"/>
    <w:rsid w:val="00AC35B1"/>
    <w:rsid w:val="00AC3726"/>
    <w:rsid w:val="00AC378E"/>
    <w:rsid w:val="00AC38B7"/>
    <w:rsid w:val="00AC390F"/>
    <w:rsid w:val="00AC3AFE"/>
    <w:rsid w:val="00AC3DC1"/>
    <w:rsid w:val="00AC3E6F"/>
    <w:rsid w:val="00AC41CE"/>
    <w:rsid w:val="00AC458D"/>
    <w:rsid w:val="00AC4927"/>
    <w:rsid w:val="00AC4D2F"/>
    <w:rsid w:val="00AC512E"/>
    <w:rsid w:val="00AC5697"/>
    <w:rsid w:val="00AC59A0"/>
    <w:rsid w:val="00AC5B65"/>
    <w:rsid w:val="00AC5C7F"/>
    <w:rsid w:val="00AC5EAE"/>
    <w:rsid w:val="00AC65C1"/>
    <w:rsid w:val="00AC712C"/>
    <w:rsid w:val="00AC7524"/>
    <w:rsid w:val="00AC76CE"/>
    <w:rsid w:val="00AC7F13"/>
    <w:rsid w:val="00AD00A0"/>
    <w:rsid w:val="00AD0165"/>
    <w:rsid w:val="00AD04BC"/>
    <w:rsid w:val="00AD0854"/>
    <w:rsid w:val="00AD0E5D"/>
    <w:rsid w:val="00AD0EFA"/>
    <w:rsid w:val="00AD0FA6"/>
    <w:rsid w:val="00AD11BC"/>
    <w:rsid w:val="00AD20CE"/>
    <w:rsid w:val="00AD20DF"/>
    <w:rsid w:val="00AD25BD"/>
    <w:rsid w:val="00AD280C"/>
    <w:rsid w:val="00AD2E16"/>
    <w:rsid w:val="00AD32A5"/>
    <w:rsid w:val="00AD37D3"/>
    <w:rsid w:val="00AD38B9"/>
    <w:rsid w:val="00AD4137"/>
    <w:rsid w:val="00AD427D"/>
    <w:rsid w:val="00AD495C"/>
    <w:rsid w:val="00AD4B90"/>
    <w:rsid w:val="00AD4D3E"/>
    <w:rsid w:val="00AD4D62"/>
    <w:rsid w:val="00AD4ECC"/>
    <w:rsid w:val="00AD548B"/>
    <w:rsid w:val="00AD590F"/>
    <w:rsid w:val="00AD5BFA"/>
    <w:rsid w:val="00AD68A2"/>
    <w:rsid w:val="00AD6DEA"/>
    <w:rsid w:val="00AD71CC"/>
    <w:rsid w:val="00AD7321"/>
    <w:rsid w:val="00AD77DA"/>
    <w:rsid w:val="00AD7CA7"/>
    <w:rsid w:val="00AE016F"/>
    <w:rsid w:val="00AE0876"/>
    <w:rsid w:val="00AE0C5D"/>
    <w:rsid w:val="00AE0D44"/>
    <w:rsid w:val="00AE0E2B"/>
    <w:rsid w:val="00AE184E"/>
    <w:rsid w:val="00AE21F7"/>
    <w:rsid w:val="00AE225E"/>
    <w:rsid w:val="00AE255F"/>
    <w:rsid w:val="00AE27E7"/>
    <w:rsid w:val="00AE2AE3"/>
    <w:rsid w:val="00AE2B8C"/>
    <w:rsid w:val="00AE2BB4"/>
    <w:rsid w:val="00AE2F4F"/>
    <w:rsid w:val="00AE2F84"/>
    <w:rsid w:val="00AE317C"/>
    <w:rsid w:val="00AE3515"/>
    <w:rsid w:val="00AE38D7"/>
    <w:rsid w:val="00AE39EC"/>
    <w:rsid w:val="00AE3C01"/>
    <w:rsid w:val="00AE3C33"/>
    <w:rsid w:val="00AE3C37"/>
    <w:rsid w:val="00AE3C5E"/>
    <w:rsid w:val="00AE3FFC"/>
    <w:rsid w:val="00AE4170"/>
    <w:rsid w:val="00AE4345"/>
    <w:rsid w:val="00AE4ADD"/>
    <w:rsid w:val="00AE4CFD"/>
    <w:rsid w:val="00AE4E85"/>
    <w:rsid w:val="00AE507C"/>
    <w:rsid w:val="00AE5B09"/>
    <w:rsid w:val="00AE5D27"/>
    <w:rsid w:val="00AE60C1"/>
    <w:rsid w:val="00AE62FD"/>
    <w:rsid w:val="00AE6411"/>
    <w:rsid w:val="00AE6595"/>
    <w:rsid w:val="00AE6D01"/>
    <w:rsid w:val="00AE6FF8"/>
    <w:rsid w:val="00AE70C8"/>
    <w:rsid w:val="00AE7314"/>
    <w:rsid w:val="00AE7988"/>
    <w:rsid w:val="00AE79DE"/>
    <w:rsid w:val="00AE7D5B"/>
    <w:rsid w:val="00AE7D78"/>
    <w:rsid w:val="00AE7FAA"/>
    <w:rsid w:val="00AF013E"/>
    <w:rsid w:val="00AF076F"/>
    <w:rsid w:val="00AF084B"/>
    <w:rsid w:val="00AF0C6D"/>
    <w:rsid w:val="00AF0D0E"/>
    <w:rsid w:val="00AF1BE9"/>
    <w:rsid w:val="00AF1C11"/>
    <w:rsid w:val="00AF1E44"/>
    <w:rsid w:val="00AF200E"/>
    <w:rsid w:val="00AF2237"/>
    <w:rsid w:val="00AF2355"/>
    <w:rsid w:val="00AF238E"/>
    <w:rsid w:val="00AF25BA"/>
    <w:rsid w:val="00AF2696"/>
    <w:rsid w:val="00AF2742"/>
    <w:rsid w:val="00AF2860"/>
    <w:rsid w:val="00AF2CBC"/>
    <w:rsid w:val="00AF2D32"/>
    <w:rsid w:val="00AF30A9"/>
    <w:rsid w:val="00AF32A0"/>
    <w:rsid w:val="00AF3300"/>
    <w:rsid w:val="00AF363E"/>
    <w:rsid w:val="00AF3755"/>
    <w:rsid w:val="00AF38BE"/>
    <w:rsid w:val="00AF3983"/>
    <w:rsid w:val="00AF3A97"/>
    <w:rsid w:val="00AF3F92"/>
    <w:rsid w:val="00AF419C"/>
    <w:rsid w:val="00AF4791"/>
    <w:rsid w:val="00AF4930"/>
    <w:rsid w:val="00AF4B05"/>
    <w:rsid w:val="00AF4D55"/>
    <w:rsid w:val="00AF4D86"/>
    <w:rsid w:val="00AF5142"/>
    <w:rsid w:val="00AF52A7"/>
    <w:rsid w:val="00AF531C"/>
    <w:rsid w:val="00AF53F7"/>
    <w:rsid w:val="00AF5548"/>
    <w:rsid w:val="00AF5770"/>
    <w:rsid w:val="00AF5BA8"/>
    <w:rsid w:val="00AF5CA0"/>
    <w:rsid w:val="00AF6078"/>
    <w:rsid w:val="00AF621C"/>
    <w:rsid w:val="00AF6267"/>
    <w:rsid w:val="00AF6488"/>
    <w:rsid w:val="00AF6720"/>
    <w:rsid w:val="00AF6F49"/>
    <w:rsid w:val="00AF75AC"/>
    <w:rsid w:val="00B0053E"/>
    <w:rsid w:val="00B005E6"/>
    <w:rsid w:val="00B0076E"/>
    <w:rsid w:val="00B0079C"/>
    <w:rsid w:val="00B008F1"/>
    <w:rsid w:val="00B0090B"/>
    <w:rsid w:val="00B00A9C"/>
    <w:rsid w:val="00B00FE3"/>
    <w:rsid w:val="00B01138"/>
    <w:rsid w:val="00B01321"/>
    <w:rsid w:val="00B01530"/>
    <w:rsid w:val="00B015AD"/>
    <w:rsid w:val="00B01611"/>
    <w:rsid w:val="00B01AA7"/>
    <w:rsid w:val="00B01DF1"/>
    <w:rsid w:val="00B0256E"/>
    <w:rsid w:val="00B026B2"/>
    <w:rsid w:val="00B031A3"/>
    <w:rsid w:val="00B03619"/>
    <w:rsid w:val="00B03621"/>
    <w:rsid w:val="00B03805"/>
    <w:rsid w:val="00B03AE6"/>
    <w:rsid w:val="00B03B63"/>
    <w:rsid w:val="00B03CC6"/>
    <w:rsid w:val="00B03DB9"/>
    <w:rsid w:val="00B041AF"/>
    <w:rsid w:val="00B046CA"/>
    <w:rsid w:val="00B0470D"/>
    <w:rsid w:val="00B04919"/>
    <w:rsid w:val="00B04924"/>
    <w:rsid w:val="00B04AB1"/>
    <w:rsid w:val="00B04B85"/>
    <w:rsid w:val="00B04CC2"/>
    <w:rsid w:val="00B04FB5"/>
    <w:rsid w:val="00B053AC"/>
    <w:rsid w:val="00B053E8"/>
    <w:rsid w:val="00B056C8"/>
    <w:rsid w:val="00B05A6D"/>
    <w:rsid w:val="00B05B72"/>
    <w:rsid w:val="00B05CD4"/>
    <w:rsid w:val="00B05E92"/>
    <w:rsid w:val="00B05F1D"/>
    <w:rsid w:val="00B06300"/>
    <w:rsid w:val="00B06826"/>
    <w:rsid w:val="00B06FC1"/>
    <w:rsid w:val="00B0712A"/>
    <w:rsid w:val="00B07266"/>
    <w:rsid w:val="00B0747E"/>
    <w:rsid w:val="00B07B54"/>
    <w:rsid w:val="00B07D8A"/>
    <w:rsid w:val="00B101B1"/>
    <w:rsid w:val="00B104B6"/>
    <w:rsid w:val="00B1088C"/>
    <w:rsid w:val="00B1090A"/>
    <w:rsid w:val="00B10D60"/>
    <w:rsid w:val="00B10F8C"/>
    <w:rsid w:val="00B11004"/>
    <w:rsid w:val="00B1132A"/>
    <w:rsid w:val="00B11495"/>
    <w:rsid w:val="00B114BB"/>
    <w:rsid w:val="00B11C91"/>
    <w:rsid w:val="00B11D16"/>
    <w:rsid w:val="00B11D96"/>
    <w:rsid w:val="00B126AC"/>
    <w:rsid w:val="00B128EF"/>
    <w:rsid w:val="00B12A87"/>
    <w:rsid w:val="00B12A9D"/>
    <w:rsid w:val="00B13006"/>
    <w:rsid w:val="00B132C2"/>
    <w:rsid w:val="00B13B8B"/>
    <w:rsid w:val="00B13EBC"/>
    <w:rsid w:val="00B14256"/>
    <w:rsid w:val="00B145A6"/>
    <w:rsid w:val="00B14722"/>
    <w:rsid w:val="00B14796"/>
    <w:rsid w:val="00B149EA"/>
    <w:rsid w:val="00B14ADC"/>
    <w:rsid w:val="00B14C50"/>
    <w:rsid w:val="00B150F0"/>
    <w:rsid w:val="00B1537F"/>
    <w:rsid w:val="00B153BC"/>
    <w:rsid w:val="00B15639"/>
    <w:rsid w:val="00B15746"/>
    <w:rsid w:val="00B158B0"/>
    <w:rsid w:val="00B15909"/>
    <w:rsid w:val="00B15C7E"/>
    <w:rsid w:val="00B15EB1"/>
    <w:rsid w:val="00B16180"/>
    <w:rsid w:val="00B161A5"/>
    <w:rsid w:val="00B164B4"/>
    <w:rsid w:val="00B16A78"/>
    <w:rsid w:val="00B16CF9"/>
    <w:rsid w:val="00B16E24"/>
    <w:rsid w:val="00B17387"/>
    <w:rsid w:val="00B17612"/>
    <w:rsid w:val="00B17676"/>
    <w:rsid w:val="00B17B91"/>
    <w:rsid w:val="00B20248"/>
    <w:rsid w:val="00B20AA6"/>
    <w:rsid w:val="00B20CDE"/>
    <w:rsid w:val="00B21185"/>
    <w:rsid w:val="00B2129E"/>
    <w:rsid w:val="00B2174F"/>
    <w:rsid w:val="00B2193D"/>
    <w:rsid w:val="00B21B0D"/>
    <w:rsid w:val="00B2213B"/>
    <w:rsid w:val="00B223A3"/>
    <w:rsid w:val="00B22933"/>
    <w:rsid w:val="00B23127"/>
    <w:rsid w:val="00B233A2"/>
    <w:rsid w:val="00B234B9"/>
    <w:rsid w:val="00B23CB1"/>
    <w:rsid w:val="00B245B9"/>
    <w:rsid w:val="00B24613"/>
    <w:rsid w:val="00B249B5"/>
    <w:rsid w:val="00B24B75"/>
    <w:rsid w:val="00B25036"/>
    <w:rsid w:val="00B251B4"/>
    <w:rsid w:val="00B2536F"/>
    <w:rsid w:val="00B25435"/>
    <w:rsid w:val="00B255AC"/>
    <w:rsid w:val="00B25706"/>
    <w:rsid w:val="00B25953"/>
    <w:rsid w:val="00B25AD1"/>
    <w:rsid w:val="00B26225"/>
    <w:rsid w:val="00B2634E"/>
    <w:rsid w:val="00B263F2"/>
    <w:rsid w:val="00B264C7"/>
    <w:rsid w:val="00B269C9"/>
    <w:rsid w:val="00B26E74"/>
    <w:rsid w:val="00B26EF7"/>
    <w:rsid w:val="00B27D63"/>
    <w:rsid w:val="00B27F77"/>
    <w:rsid w:val="00B3061E"/>
    <w:rsid w:val="00B30C4C"/>
    <w:rsid w:val="00B30CCA"/>
    <w:rsid w:val="00B30F56"/>
    <w:rsid w:val="00B30FAE"/>
    <w:rsid w:val="00B3110D"/>
    <w:rsid w:val="00B313C5"/>
    <w:rsid w:val="00B3147E"/>
    <w:rsid w:val="00B31695"/>
    <w:rsid w:val="00B317FF"/>
    <w:rsid w:val="00B31883"/>
    <w:rsid w:val="00B31D7A"/>
    <w:rsid w:val="00B32035"/>
    <w:rsid w:val="00B321CB"/>
    <w:rsid w:val="00B322E0"/>
    <w:rsid w:val="00B3249A"/>
    <w:rsid w:val="00B327A4"/>
    <w:rsid w:val="00B32947"/>
    <w:rsid w:val="00B32BAB"/>
    <w:rsid w:val="00B32C20"/>
    <w:rsid w:val="00B331F8"/>
    <w:rsid w:val="00B332D0"/>
    <w:rsid w:val="00B333C8"/>
    <w:rsid w:val="00B333EB"/>
    <w:rsid w:val="00B33722"/>
    <w:rsid w:val="00B33FF0"/>
    <w:rsid w:val="00B34225"/>
    <w:rsid w:val="00B344AA"/>
    <w:rsid w:val="00B34BC4"/>
    <w:rsid w:val="00B3528F"/>
    <w:rsid w:val="00B352F8"/>
    <w:rsid w:val="00B35998"/>
    <w:rsid w:val="00B35A63"/>
    <w:rsid w:val="00B35ACB"/>
    <w:rsid w:val="00B35AD8"/>
    <w:rsid w:val="00B35B50"/>
    <w:rsid w:val="00B35E45"/>
    <w:rsid w:val="00B36278"/>
    <w:rsid w:val="00B3634D"/>
    <w:rsid w:val="00B36826"/>
    <w:rsid w:val="00B36836"/>
    <w:rsid w:val="00B369F7"/>
    <w:rsid w:val="00B36E62"/>
    <w:rsid w:val="00B36F2F"/>
    <w:rsid w:val="00B3727E"/>
    <w:rsid w:val="00B373EF"/>
    <w:rsid w:val="00B3755E"/>
    <w:rsid w:val="00B376BE"/>
    <w:rsid w:val="00B37848"/>
    <w:rsid w:val="00B378DA"/>
    <w:rsid w:val="00B378F8"/>
    <w:rsid w:val="00B37AC8"/>
    <w:rsid w:val="00B37ADB"/>
    <w:rsid w:val="00B4008C"/>
    <w:rsid w:val="00B4028B"/>
    <w:rsid w:val="00B404E4"/>
    <w:rsid w:val="00B408BD"/>
    <w:rsid w:val="00B409E8"/>
    <w:rsid w:val="00B40DA7"/>
    <w:rsid w:val="00B4136E"/>
    <w:rsid w:val="00B41916"/>
    <w:rsid w:val="00B41A2A"/>
    <w:rsid w:val="00B41D51"/>
    <w:rsid w:val="00B41DCF"/>
    <w:rsid w:val="00B41E27"/>
    <w:rsid w:val="00B4247F"/>
    <w:rsid w:val="00B4253E"/>
    <w:rsid w:val="00B4266F"/>
    <w:rsid w:val="00B427C5"/>
    <w:rsid w:val="00B42B45"/>
    <w:rsid w:val="00B42CDD"/>
    <w:rsid w:val="00B42DC0"/>
    <w:rsid w:val="00B42F5C"/>
    <w:rsid w:val="00B44196"/>
    <w:rsid w:val="00B44389"/>
    <w:rsid w:val="00B44492"/>
    <w:rsid w:val="00B446DC"/>
    <w:rsid w:val="00B448FB"/>
    <w:rsid w:val="00B44C84"/>
    <w:rsid w:val="00B44D08"/>
    <w:rsid w:val="00B44E44"/>
    <w:rsid w:val="00B44F1D"/>
    <w:rsid w:val="00B45232"/>
    <w:rsid w:val="00B4564F"/>
    <w:rsid w:val="00B45719"/>
    <w:rsid w:val="00B45F28"/>
    <w:rsid w:val="00B465CA"/>
    <w:rsid w:val="00B46DB9"/>
    <w:rsid w:val="00B46E8C"/>
    <w:rsid w:val="00B474E7"/>
    <w:rsid w:val="00B4750F"/>
    <w:rsid w:val="00B50071"/>
    <w:rsid w:val="00B50097"/>
    <w:rsid w:val="00B50677"/>
    <w:rsid w:val="00B50BC3"/>
    <w:rsid w:val="00B50D3A"/>
    <w:rsid w:val="00B513F3"/>
    <w:rsid w:val="00B51408"/>
    <w:rsid w:val="00B514AE"/>
    <w:rsid w:val="00B51591"/>
    <w:rsid w:val="00B51654"/>
    <w:rsid w:val="00B51B8A"/>
    <w:rsid w:val="00B51BA3"/>
    <w:rsid w:val="00B51EEF"/>
    <w:rsid w:val="00B51F76"/>
    <w:rsid w:val="00B522D7"/>
    <w:rsid w:val="00B53255"/>
    <w:rsid w:val="00B532B1"/>
    <w:rsid w:val="00B53842"/>
    <w:rsid w:val="00B53A80"/>
    <w:rsid w:val="00B5462B"/>
    <w:rsid w:val="00B54DB5"/>
    <w:rsid w:val="00B55006"/>
    <w:rsid w:val="00B55319"/>
    <w:rsid w:val="00B55C9D"/>
    <w:rsid w:val="00B55D6C"/>
    <w:rsid w:val="00B5611F"/>
    <w:rsid w:val="00B5645D"/>
    <w:rsid w:val="00B56548"/>
    <w:rsid w:val="00B5664C"/>
    <w:rsid w:val="00B568F5"/>
    <w:rsid w:val="00B56A5F"/>
    <w:rsid w:val="00B57429"/>
    <w:rsid w:val="00B5791C"/>
    <w:rsid w:val="00B60331"/>
    <w:rsid w:val="00B604A6"/>
    <w:rsid w:val="00B60669"/>
    <w:rsid w:val="00B6089E"/>
    <w:rsid w:val="00B609B9"/>
    <w:rsid w:val="00B60A3A"/>
    <w:rsid w:val="00B60CA1"/>
    <w:rsid w:val="00B60D4A"/>
    <w:rsid w:val="00B60E65"/>
    <w:rsid w:val="00B61042"/>
    <w:rsid w:val="00B61EE6"/>
    <w:rsid w:val="00B62501"/>
    <w:rsid w:val="00B6266E"/>
    <w:rsid w:val="00B6293E"/>
    <w:rsid w:val="00B62985"/>
    <w:rsid w:val="00B62DD1"/>
    <w:rsid w:val="00B62DF0"/>
    <w:rsid w:val="00B63218"/>
    <w:rsid w:val="00B632E7"/>
    <w:rsid w:val="00B633AA"/>
    <w:rsid w:val="00B633DA"/>
    <w:rsid w:val="00B63603"/>
    <w:rsid w:val="00B636A6"/>
    <w:rsid w:val="00B63711"/>
    <w:rsid w:val="00B639C2"/>
    <w:rsid w:val="00B63AFA"/>
    <w:rsid w:val="00B63B81"/>
    <w:rsid w:val="00B63D50"/>
    <w:rsid w:val="00B63F48"/>
    <w:rsid w:val="00B63FB1"/>
    <w:rsid w:val="00B640C5"/>
    <w:rsid w:val="00B641DA"/>
    <w:rsid w:val="00B64732"/>
    <w:rsid w:val="00B64982"/>
    <w:rsid w:val="00B64ABB"/>
    <w:rsid w:val="00B64B46"/>
    <w:rsid w:val="00B64B87"/>
    <w:rsid w:val="00B64BF7"/>
    <w:rsid w:val="00B64CE7"/>
    <w:rsid w:val="00B64EDB"/>
    <w:rsid w:val="00B650FE"/>
    <w:rsid w:val="00B65188"/>
    <w:rsid w:val="00B6548E"/>
    <w:rsid w:val="00B657BC"/>
    <w:rsid w:val="00B65834"/>
    <w:rsid w:val="00B65956"/>
    <w:rsid w:val="00B659F4"/>
    <w:rsid w:val="00B65F48"/>
    <w:rsid w:val="00B66017"/>
    <w:rsid w:val="00B660C9"/>
    <w:rsid w:val="00B6614A"/>
    <w:rsid w:val="00B664E6"/>
    <w:rsid w:val="00B66CC6"/>
    <w:rsid w:val="00B66FD7"/>
    <w:rsid w:val="00B67300"/>
    <w:rsid w:val="00B673A2"/>
    <w:rsid w:val="00B675DE"/>
    <w:rsid w:val="00B67802"/>
    <w:rsid w:val="00B67AF0"/>
    <w:rsid w:val="00B67BCA"/>
    <w:rsid w:val="00B67E51"/>
    <w:rsid w:val="00B7042F"/>
    <w:rsid w:val="00B70718"/>
    <w:rsid w:val="00B70914"/>
    <w:rsid w:val="00B70B3B"/>
    <w:rsid w:val="00B70FFC"/>
    <w:rsid w:val="00B71531"/>
    <w:rsid w:val="00B71642"/>
    <w:rsid w:val="00B71831"/>
    <w:rsid w:val="00B71D00"/>
    <w:rsid w:val="00B72006"/>
    <w:rsid w:val="00B7223F"/>
    <w:rsid w:val="00B723E9"/>
    <w:rsid w:val="00B72549"/>
    <w:rsid w:val="00B728A9"/>
    <w:rsid w:val="00B72E1B"/>
    <w:rsid w:val="00B72ED1"/>
    <w:rsid w:val="00B732BB"/>
    <w:rsid w:val="00B7396B"/>
    <w:rsid w:val="00B739E7"/>
    <w:rsid w:val="00B73F18"/>
    <w:rsid w:val="00B74088"/>
    <w:rsid w:val="00B746C9"/>
    <w:rsid w:val="00B746EF"/>
    <w:rsid w:val="00B74753"/>
    <w:rsid w:val="00B74E03"/>
    <w:rsid w:val="00B75551"/>
    <w:rsid w:val="00B755B3"/>
    <w:rsid w:val="00B75645"/>
    <w:rsid w:val="00B756FB"/>
    <w:rsid w:val="00B75738"/>
    <w:rsid w:val="00B75E9A"/>
    <w:rsid w:val="00B75ED2"/>
    <w:rsid w:val="00B76008"/>
    <w:rsid w:val="00B763D9"/>
    <w:rsid w:val="00B76D87"/>
    <w:rsid w:val="00B77597"/>
    <w:rsid w:val="00B77C7B"/>
    <w:rsid w:val="00B77EC9"/>
    <w:rsid w:val="00B80029"/>
    <w:rsid w:val="00B804E2"/>
    <w:rsid w:val="00B80619"/>
    <w:rsid w:val="00B807F7"/>
    <w:rsid w:val="00B80AD5"/>
    <w:rsid w:val="00B80B29"/>
    <w:rsid w:val="00B8132B"/>
    <w:rsid w:val="00B813B6"/>
    <w:rsid w:val="00B8178F"/>
    <w:rsid w:val="00B81B95"/>
    <w:rsid w:val="00B81C48"/>
    <w:rsid w:val="00B82162"/>
    <w:rsid w:val="00B8235A"/>
    <w:rsid w:val="00B82888"/>
    <w:rsid w:val="00B828C8"/>
    <w:rsid w:val="00B82A53"/>
    <w:rsid w:val="00B830E3"/>
    <w:rsid w:val="00B832C4"/>
    <w:rsid w:val="00B833EC"/>
    <w:rsid w:val="00B83C4F"/>
    <w:rsid w:val="00B8444C"/>
    <w:rsid w:val="00B845F6"/>
    <w:rsid w:val="00B8475D"/>
    <w:rsid w:val="00B852B0"/>
    <w:rsid w:val="00B85407"/>
    <w:rsid w:val="00B859A4"/>
    <w:rsid w:val="00B85A1A"/>
    <w:rsid w:val="00B85B57"/>
    <w:rsid w:val="00B86353"/>
    <w:rsid w:val="00B86369"/>
    <w:rsid w:val="00B86627"/>
    <w:rsid w:val="00B86F27"/>
    <w:rsid w:val="00B8703E"/>
    <w:rsid w:val="00B879C1"/>
    <w:rsid w:val="00B87A95"/>
    <w:rsid w:val="00B87B54"/>
    <w:rsid w:val="00B87F21"/>
    <w:rsid w:val="00B87F56"/>
    <w:rsid w:val="00B90017"/>
    <w:rsid w:val="00B9074F"/>
    <w:rsid w:val="00B90ADC"/>
    <w:rsid w:val="00B90FC7"/>
    <w:rsid w:val="00B9106A"/>
    <w:rsid w:val="00B9177D"/>
    <w:rsid w:val="00B923A5"/>
    <w:rsid w:val="00B92490"/>
    <w:rsid w:val="00B92676"/>
    <w:rsid w:val="00B927C7"/>
    <w:rsid w:val="00B92870"/>
    <w:rsid w:val="00B92883"/>
    <w:rsid w:val="00B92B79"/>
    <w:rsid w:val="00B92C92"/>
    <w:rsid w:val="00B92D56"/>
    <w:rsid w:val="00B92FBA"/>
    <w:rsid w:val="00B93166"/>
    <w:rsid w:val="00B9320E"/>
    <w:rsid w:val="00B934D4"/>
    <w:rsid w:val="00B9372C"/>
    <w:rsid w:val="00B93846"/>
    <w:rsid w:val="00B93CF0"/>
    <w:rsid w:val="00B93E9C"/>
    <w:rsid w:val="00B93F3C"/>
    <w:rsid w:val="00B9420B"/>
    <w:rsid w:val="00B94289"/>
    <w:rsid w:val="00B9448F"/>
    <w:rsid w:val="00B946CC"/>
    <w:rsid w:val="00B94B9F"/>
    <w:rsid w:val="00B94FCB"/>
    <w:rsid w:val="00B9533C"/>
    <w:rsid w:val="00B95409"/>
    <w:rsid w:val="00B9552D"/>
    <w:rsid w:val="00B95701"/>
    <w:rsid w:val="00B95967"/>
    <w:rsid w:val="00B95AEC"/>
    <w:rsid w:val="00B95C4A"/>
    <w:rsid w:val="00B95DBD"/>
    <w:rsid w:val="00B95DD1"/>
    <w:rsid w:val="00B96AAF"/>
    <w:rsid w:val="00B96CE4"/>
    <w:rsid w:val="00B97423"/>
    <w:rsid w:val="00B9745A"/>
    <w:rsid w:val="00B975DC"/>
    <w:rsid w:val="00B9767E"/>
    <w:rsid w:val="00B9768C"/>
    <w:rsid w:val="00B976E4"/>
    <w:rsid w:val="00B97985"/>
    <w:rsid w:val="00B97DE7"/>
    <w:rsid w:val="00B97DFF"/>
    <w:rsid w:val="00B97E3F"/>
    <w:rsid w:val="00B97FEF"/>
    <w:rsid w:val="00BA03F6"/>
    <w:rsid w:val="00BA06B2"/>
    <w:rsid w:val="00BA073C"/>
    <w:rsid w:val="00BA0A29"/>
    <w:rsid w:val="00BA0AFE"/>
    <w:rsid w:val="00BA0CC6"/>
    <w:rsid w:val="00BA1540"/>
    <w:rsid w:val="00BA213E"/>
    <w:rsid w:val="00BA21FD"/>
    <w:rsid w:val="00BA2581"/>
    <w:rsid w:val="00BA25A0"/>
    <w:rsid w:val="00BA2793"/>
    <w:rsid w:val="00BA28A3"/>
    <w:rsid w:val="00BA28A8"/>
    <w:rsid w:val="00BA2A99"/>
    <w:rsid w:val="00BA2F33"/>
    <w:rsid w:val="00BA3150"/>
    <w:rsid w:val="00BA317A"/>
    <w:rsid w:val="00BA33B1"/>
    <w:rsid w:val="00BA344F"/>
    <w:rsid w:val="00BA36C2"/>
    <w:rsid w:val="00BA39D8"/>
    <w:rsid w:val="00BA3B06"/>
    <w:rsid w:val="00BA43C4"/>
    <w:rsid w:val="00BA4802"/>
    <w:rsid w:val="00BA4805"/>
    <w:rsid w:val="00BA4889"/>
    <w:rsid w:val="00BA4977"/>
    <w:rsid w:val="00BA4A13"/>
    <w:rsid w:val="00BA4EF2"/>
    <w:rsid w:val="00BA55C7"/>
    <w:rsid w:val="00BA5A21"/>
    <w:rsid w:val="00BA5A6B"/>
    <w:rsid w:val="00BA5BC6"/>
    <w:rsid w:val="00BA5DA2"/>
    <w:rsid w:val="00BA6022"/>
    <w:rsid w:val="00BA61EB"/>
    <w:rsid w:val="00BA62F5"/>
    <w:rsid w:val="00BA6377"/>
    <w:rsid w:val="00BA644A"/>
    <w:rsid w:val="00BA6466"/>
    <w:rsid w:val="00BA67C5"/>
    <w:rsid w:val="00BA6946"/>
    <w:rsid w:val="00BA6C2C"/>
    <w:rsid w:val="00BA6DC9"/>
    <w:rsid w:val="00BA7AE5"/>
    <w:rsid w:val="00BA7C71"/>
    <w:rsid w:val="00BA7E60"/>
    <w:rsid w:val="00BA7F7E"/>
    <w:rsid w:val="00BA7F80"/>
    <w:rsid w:val="00BB03EC"/>
    <w:rsid w:val="00BB08BF"/>
    <w:rsid w:val="00BB0C39"/>
    <w:rsid w:val="00BB0F3A"/>
    <w:rsid w:val="00BB0F90"/>
    <w:rsid w:val="00BB10D2"/>
    <w:rsid w:val="00BB1753"/>
    <w:rsid w:val="00BB1A49"/>
    <w:rsid w:val="00BB1A89"/>
    <w:rsid w:val="00BB1A93"/>
    <w:rsid w:val="00BB215C"/>
    <w:rsid w:val="00BB2192"/>
    <w:rsid w:val="00BB2321"/>
    <w:rsid w:val="00BB2697"/>
    <w:rsid w:val="00BB2B80"/>
    <w:rsid w:val="00BB3052"/>
    <w:rsid w:val="00BB30B2"/>
    <w:rsid w:val="00BB34FC"/>
    <w:rsid w:val="00BB3C1A"/>
    <w:rsid w:val="00BB4072"/>
    <w:rsid w:val="00BB4332"/>
    <w:rsid w:val="00BB4387"/>
    <w:rsid w:val="00BB43F2"/>
    <w:rsid w:val="00BB4B3E"/>
    <w:rsid w:val="00BB5317"/>
    <w:rsid w:val="00BB54DB"/>
    <w:rsid w:val="00BB5619"/>
    <w:rsid w:val="00BB5927"/>
    <w:rsid w:val="00BB5ECB"/>
    <w:rsid w:val="00BB5F1D"/>
    <w:rsid w:val="00BB6006"/>
    <w:rsid w:val="00BB6031"/>
    <w:rsid w:val="00BB639C"/>
    <w:rsid w:val="00BB644C"/>
    <w:rsid w:val="00BB6474"/>
    <w:rsid w:val="00BB6BD7"/>
    <w:rsid w:val="00BB6CCF"/>
    <w:rsid w:val="00BB6ED7"/>
    <w:rsid w:val="00BB6F1E"/>
    <w:rsid w:val="00BB7277"/>
    <w:rsid w:val="00BB764C"/>
    <w:rsid w:val="00BB77A9"/>
    <w:rsid w:val="00BB7A12"/>
    <w:rsid w:val="00BB7D11"/>
    <w:rsid w:val="00BB7FE9"/>
    <w:rsid w:val="00BC0C09"/>
    <w:rsid w:val="00BC0E2E"/>
    <w:rsid w:val="00BC11EF"/>
    <w:rsid w:val="00BC1507"/>
    <w:rsid w:val="00BC1A63"/>
    <w:rsid w:val="00BC1BB5"/>
    <w:rsid w:val="00BC2498"/>
    <w:rsid w:val="00BC2E8F"/>
    <w:rsid w:val="00BC35C1"/>
    <w:rsid w:val="00BC35D5"/>
    <w:rsid w:val="00BC3CD4"/>
    <w:rsid w:val="00BC40DE"/>
    <w:rsid w:val="00BC40EC"/>
    <w:rsid w:val="00BC40F4"/>
    <w:rsid w:val="00BC41E4"/>
    <w:rsid w:val="00BC4215"/>
    <w:rsid w:val="00BC4BE2"/>
    <w:rsid w:val="00BC4FC0"/>
    <w:rsid w:val="00BC5844"/>
    <w:rsid w:val="00BC593D"/>
    <w:rsid w:val="00BC5ACF"/>
    <w:rsid w:val="00BC5AE8"/>
    <w:rsid w:val="00BC5E01"/>
    <w:rsid w:val="00BC5F1E"/>
    <w:rsid w:val="00BC6144"/>
    <w:rsid w:val="00BC6169"/>
    <w:rsid w:val="00BC6418"/>
    <w:rsid w:val="00BC64E9"/>
    <w:rsid w:val="00BC66F2"/>
    <w:rsid w:val="00BC6735"/>
    <w:rsid w:val="00BC6774"/>
    <w:rsid w:val="00BC6B03"/>
    <w:rsid w:val="00BC6B36"/>
    <w:rsid w:val="00BC6CE0"/>
    <w:rsid w:val="00BC7345"/>
    <w:rsid w:val="00BC7853"/>
    <w:rsid w:val="00BC7DF8"/>
    <w:rsid w:val="00BD0056"/>
    <w:rsid w:val="00BD0542"/>
    <w:rsid w:val="00BD05D5"/>
    <w:rsid w:val="00BD15B9"/>
    <w:rsid w:val="00BD1951"/>
    <w:rsid w:val="00BD1B0F"/>
    <w:rsid w:val="00BD2169"/>
    <w:rsid w:val="00BD269A"/>
    <w:rsid w:val="00BD2A58"/>
    <w:rsid w:val="00BD2FD8"/>
    <w:rsid w:val="00BD30C5"/>
    <w:rsid w:val="00BD3B37"/>
    <w:rsid w:val="00BD3EA6"/>
    <w:rsid w:val="00BD4335"/>
    <w:rsid w:val="00BD439F"/>
    <w:rsid w:val="00BD46BF"/>
    <w:rsid w:val="00BD4D24"/>
    <w:rsid w:val="00BD4E16"/>
    <w:rsid w:val="00BD57A8"/>
    <w:rsid w:val="00BD6150"/>
    <w:rsid w:val="00BD65B4"/>
    <w:rsid w:val="00BD6623"/>
    <w:rsid w:val="00BD6C27"/>
    <w:rsid w:val="00BD7A2E"/>
    <w:rsid w:val="00BD7A30"/>
    <w:rsid w:val="00BD7C95"/>
    <w:rsid w:val="00BE0077"/>
    <w:rsid w:val="00BE03FC"/>
    <w:rsid w:val="00BE06E7"/>
    <w:rsid w:val="00BE0B4B"/>
    <w:rsid w:val="00BE0BC2"/>
    <w:rsid w:val="00BE134E"/>
    <w:rsid w:val="00BE16E6"/>
    <w:rsid w:val="00BE1BC7"/>
    <w:rsid w:val="00BE210D"/>
    <w:rsid w:val="00BE2BB2"/>
    <w:rsid w:val="00BE2CFD"/>
    <w:rsid w:val="00BE2E6A"/>
    <w:rsid w:val="00BE2F6A"/>
    <w:rsid w:val="00BE36C9"/>
    <w:rsid w:val="00BE370A"/>
    <w:rsid w:val="00BE3A65"/>
    <w:rsid w:val="00BE3AAF"/>
    <w:rsid w:val="00BE3E8C"/>
    <w:rsid w:val="00BE4046"/>
    <w:rsid w:val="00BE424D"/>
    <w:rsid w:val="00BE46D1"/>
    <w:rsid w:val="00BE5226"/>
    <w:rsid w:val="00BE5260"/>
    <w:rsid w:val="00BE5B65"/>
    <w:rsid w:val="00BE5B7E"/>
    <w:rsid w:val="00BE60DE"/>
    <w:rsid w:val="00BE60F1"/>
    <w:rsid w:val="00BE638A"/>
    <w:rsid w:val="00BE6987"/>
    <w:rsid w:val="00BE6FC4"/>
    <w:rsid w:val="00BE705E"/>
    <w:rsid w:val="00BF054C"/>
    <w:rsid w:val="00BF05E2"/>
    <w:rsid w:val="00BF0831"/>
    <w:rsid w:val="00BF0D08"/>
    <w:rsid w:val="00BF1161"/>
    <w:rsid w:val="00BF1225"/>
    <w:rsid w:val="00BF1865"/>
    <w:rsid w:val="00BF1AF1"/>
    <w:rsid w:val="00BF1B17"/>
    <w:rsid w:val="00BF1E21"/>
    <w:rsid w:val="00BF1FED"/>
    <w:rsid w:val="00BF23F0"/>
    <w:rsid w:val="00BF26BC"/>
    <w:rsid w:val="00BF2939"/>
    <w:rsid w:val="00BF2CD4"/>
    <w:rsid w:val="00BF2D3A"/>
    <w:rsid w:val="00BF3081"/>
    <w:rsid w:val="00BF316A"/>
    <w:rsid w:val="00BF3177"/>
    <w:rsid w:val="00BF3290"/>
    <w:rsid w:val="00BF32D4"/>
    <w:rsid w:val="00BF3FE3"/>
    <w:rsid w:val="00BF4083"/>
    <w:rsid w:val="00BF4092"/>
    <w:rsid w:val="00BF40F7"/>
    <w:rsid w:val="00BF424C"/>
    <w:rsid w:val="00BF4435"/>
    <w:rsid w:val="00BF4C53"/>
    <w:rsid w:val="00BF4CFA"/>
    <w:rsid w:val="00BF5082"/>
    <w:rsid w:val="00BF5304"/>
    <w:rsid w:val="00BF5623"/>
    <w:rsid w:val="00BF5B1C"/>
    <w:rsid w:val="00BF5C4A"/>
    <w:rsid w:val="00BF5D9F"/>
    <w:rsid w:val="00BF61E3"/>
    <w:rsid w:val="00BF66C5"/>
    <w:rsid w:val="00BF6D0B"/>
    <w:rsid w:val="00BF717C"/>
    <w:rsid w:val="00BF72D3"/>
    <w:rsid w:val="00BF75AA"/>
    <w:rsid w:val="00BF7DFF"/>
    <w:rsid w:val="00C00036"/>
    <w:rsid w:val="00C00130"/>
    <w:rsid w:val="00C001A7"/>
    <w:rsid w:val="00C0069B"/>
    <w:rsid w:val="00C00CF2"/>
    <w:rsid w:val="00C00D15"/>
    <w:rsid w:val="00C00D75"/>
    <w:rsid w:val="00C00E1B"/>
    <w:rsid w:val="00C00FA7"/>
    <w:rsid w:val="00C015AD"/>
    <w:rsid w:val="00C01A76"/>
    <w:rsid w:val="00C01F8F"/>
    <w:rsid w:val="00C024F3"/>
    <w:rsid w:val="00C02658"/>
    <w:rsid w:val="00C0279A"/>
    <w:rsid w:val="00C02C2F"/>
    <w:rsid w:val="00C03220"/>
    <w:rsid w:val="00C033A8"/>
    <w:rsid w:val="00C03916"/>
    <w:rsid w:val="00C03BAD"/>
    <w:rsid w:val="00C045A5"/>
    <w:rsid w:val="00C04A68"/>
    <w:rsid w:val="00C04D0D"/>
    <w:rsid w:val="00C051FF"/>
    <w:rsid w:val="00C05223"/>
    <w:rsid w:val="00C05334"/>
    <w:rsid w:val="00C058C8"/>
    <w:rsid w:val="00C059DC"/>
    <w:rsid w:val="00C05AF8"/>
    <w:rsid w:val="00C05F41"/>
    <w:rsid w:val="00C06483"/>
    <w:rsid w:val="00C06500"/>
    <w:rsid w:val="00C066D0"/>
    <w:rsid w:val="00C068EE"/>
    <w:rsid w:val="00C074ED"/>
    <w:rsid w:val="00C07544"/>
    <w:rsid w:val="00C07738"/>
    <w:rsid w:val="00C07CD8"/>
    <w:rsid w:val="00C07F49"/>
    <w:rsid w:val="00C100C8"/>
    <w:rsid w:val="00C1016E"/>
    <w:rsid w:val="00C106E3"/>
    <w:rsid w:val="00C1134F"/>
    <w:rsid w:val="00C113C9"/>
    <w:rsid w:val="00C11AC5"/>
    <w:rsid w:val="00C11E29"/>
    <w:rsid w:val="00C11F26"/>
    <w:rsid w:val="00C121F1"/>
    <w:rsid w:val="00C1224D"/>
    <w:rsid w:val="00C12539"/>
    <w:rsid w:val="00C12A50"/>
    <w:rsid w:val="00C12C25"/>
    <w:rsid w:val="00C13474"/>
    <w:rsid w:val="00C13606"/>
    <w:rsid w:val="00C13968"/>
    <w:rsid w:val="00C13A2D"/>
    <w:rsid w:val="00C13D0A"/>
    <w:rsid w:val="00C14104"/>
    <w:rsid w:val="00C14284"/>
    <w:rsid w:val="00C14913"/>
    <w:rsid w:val="00C14A44"/>
    <w:rsid w:val="00C14A9A"/>
    <w:rsid w:val="00C14C93"/>
    <w:rsid w:val="00C14F6A"/>
    <w:rsid w:val="00C15A1A"/>
    <w:rsid w:val="00C15A68"/>
    <w:rsid w:val="00C15DC2"/>
    <w:rsid w:val="00C16301"/>
    <w:rsid w:val="00C16F02"/>
    <w:rsid w:val="00C17248"/>
    <w:rsid w:val="00C1738B"/>
    <w:rsid w:val="00C17516"/>
    <w:rsid w:val="00C17A4C"/>
    <w:rsid w:val="00C17BDC"/>
    <w:rsid w:val="00C200A1"/>
    <w:rsid w:val="00C2041F"/>
    <w:rsid w:val="00C204A3"/>
    <w:rsid w:val="00C208AB"/>
    <w:rsid w:val="00C20A93"/>
    <w:rsid w:val="00C20C43"/>
    <w:rsid w:val="00C21226"/>
    <w:rsid w:val="00C2167B"/>
    <w:rsid w:val="00C217D4"/>
    <w:rsid w:val="00C219E3"/>
    <w:rsid w:val="00C21B58"/>
    <w:rsid w:val="00C21D67"/>
    <w:rsid w:val="00C21E68"/>
    <w:rsid w:val="00C21FE8"/>
    <w:rsid w:val="00C22456"/>
    <w:rsid w:val="00C2263D"/>
    <w:rsid w:val="00C22708"/>
    <w:rsid w:val="00C22F37"/>
    <w:rsid w:val="00C23193"/>
    <w:rsid w:val="00C23575"/>
    <w:rsid w:val="00C23EFF"/>
    <w:rsid w:val="00C24022"/>
    <w:rsid w:val="00C247CF"/>
    <w:rsid w:val="00C24CA1"/>
    <w:rsid w:val="00C24CC0"/>
    <w:rsid w:val="00C250FC"/>
    <w:rsid w:val="00C25361"/>
    <w:rsid w:val="00C25774"/>
    <w:rsid w:val="00C2579D"/>
    <w:rsid w:val="00C25A47"/>
    <w:rsid w:val="00C25E58"/>
    <w:rsid w:val="00C2601D"/>
    <w:rsid w:val="00C26060"/>
    <w:rsid w:val="00C26442"/>
    <w:rsid w:val="00C2654B"/>
    <w:rsid w:val="00C265A2"/>
    <w:rsid w:val="00C26616"/>
    <w:rsid w:val="00C26766"/>
    <w:rsid w:val="00C26A3E"/>
    <w:rsid w:val="00C26C6D"/>
    <w:rsid w:val="00C26EFF"/>
    <w:rsid w:val="00C270B2"/>
    <w:rsid w:val="00C2744D"/>
    <w:rsid w:val="00C27670"/>
    <w:rsid w:val="00C276BF"/>
    <w:rsid w:val="00C27B73"/>
    <w:rsid w:val="00C27D8C"/>
    <w:rsid w:val="00C27E0A"/>
    <w:rsid w:val="00C30B10"/>
    <w:rsid w:val="00C30CEB"/>
    <w:rsid w:val="00C31213"/>
    <w:rsid w:val="00C316A6"/>
    <w:rsid w:val="00C31B24"/>
    <w:rsid w:val="00C31D75"/>
    <w:rsid w:val="00C320E3"/>
    <w:rsid w:val="00C3238A"/>
    <w:rsid w:val="00C323CE"/>
    <w:rsid w:val="00C323DF"/>
    <w:rsid w:val="00C324A6"/>
    <w:rsid w:val="00C32503"/>
    <w:rsid w:val="00C3250E"/>
    <w:rsid w:val="00C32551"/>
    <w:rsid w:val="00C325F7"/>
    <w:rsid w:val="00C327D2"/>
    <w:rsid w:val="00C3294A"/>
    <w:rsid w:val="00C3295E"/>
    <w:rsid w:val="00C32AF1"/>
    <w:rsid w:val="00C32BBB"/>
    <w:rsid w:val="00C337DA"/>
    <w:rsid w:val="00C339BD"/>
    <w:rsid w:val="00C33E6B"/>
    <w:rsid w:val="00C33F1A"/>
    <w:rsid w:val="00C34297"/>
    <w:rsid w:val="00C34833"/>
    <w:rsid w:val="00C348BE"/>
    <w:rsid w:val="00C349A9"/>
    <w:rsid w:val="00C3513C"/>
    <w:rsid w:val="00C3518D"/>
    <w:rsid w:val="00C352E4"/>
    <w:rsid w:val="00C35A2E"/>
    <w:rsid w:val="00C35D21"/>
    <w:rsid w:val="00C35EB4"/>
    <w:rsid w:val="00C36091"/>
    <w:rsid w:val="00C3622F"/>
    <w:rsid w:val="00C3658A"/>
    <w:rsid w:val="00C36605"/>
    <w:rsid w:val="00C3662C"/>
    <w:rsid w:val="00C3670E"/>
    <w:rsid w:val="00C375CD"/>
    <w:rsid w:val="00C3768D"/>
    <w:rsid w:val="00C37ABD"/>
    <w:rsid w:val="00C37D19"/>
    <w:rsid w:val="00C409B3"/>
    <w:rsid w:val="00C40BB5"/>
    <w:rsid w:val="00C40EF3"/>
    <w:rsid w:val="00C40F6F"/>
    <w:rsid w:val="00C41191"/>
    <w:rsid w:val="00C4165C"/>
    <w:rsid w:val="00C416C7"/>
    <w:rsid w:val="00C4179A"/>
    <w:rsid w:val="00C417F5"/>
    <w:rsid w:val="00C41964"/>
    <w:rsid w:val="00C419BD"/>
    <w:rsid w:val="00C41E77"/>
    <w:rsid w:val="00C422DC"/>
    <w:rsid w:val="00C42501"/>
    <w:rsid w:val="00C42841"/>
    <w:rsid w:val="00C42BF7"/>
    <w:rsid w:val="00C42CAC"/>
    <w:rsid w:val="00C42DB5"/>
    <w:rsid w:val="00C433EA"/>
    <w:rsid w:val="00C43526"/>
    <w:rsid w:val="00C43950"/>
    <w:rsid w:val="00C43A22"/>
    <w:rsid w:val="00C43AD5"/>
    <w:rsid w:val="00C44401"/>
    <w:rsid w:val="00C44C8B"/>
    <w:rsid w:val="00C44FB2"/>
    <w:rsid w:val="00C4531E"/>
    <w:rsid w:val="00C457A4"/>
    <w:rsid w:val="00C458D1"/>
    <w:rsid w:val="00C46347"/>
    <w:rsid w:val="00C464E1"/>
    <w:rsid w:val="00C46A09"/>
    <w:rsid w:val="00C46A72"/>
    <w:rsid w:val="00C46A95"/>
    <w:rsid w:val="00C47503"/>
    <w:rsid w:val="00C47731"/>
    <w:rsid w:val="00C477A5"/>
    <w:rsid w:val="00C4789E"/>
    <w:rsid w:val="00C47A4E"/>
    <w:rsid w:val="00C47C95"/>
    <w:rsid w:val="00C5000D"/>
    <w:rsid w:val="00C50DC1"/>
    <w:rsid w:val="00C50E85"/>
    <w:rsid w:val="00C517E3"/>
    <w:rsid w:val="00C519BE"/>
    <w:rsid w:val="00C51EF0"/>
    <w:rsid w:val="00C52AC1"/>
    <w:rsid w:val="00C52C37"/>
    <w:rsid w:val="00C52C9C"/>
    <w:rsid w:val="00C52EBF"/>
    <w:rsid w:val="00C5369E"/>
    <w:rsid w:val="00C53A86"/>
    <w:rsid w:val="00C53ED4"/>
    <w:rsid w:val="00C53F4F"/>
    <w:rsid w:val="00C543CF"/>
    <w:rsid w:val="00C546C2"/>
    <w:rsid w:val="00C5484B"/>
    <w:rsid w:val="00C5514B"/>
    <w:rsid w:val="00C55997"/>
    <w:rsid w:val="00C55BFC"/>
    <w:rsid w:val="00C55F08"/>
    <w:rsid w:val="00C56063"/>
    <w:rsid w:val="00C56670"/>
    <w:rsid w:val="00C568CE"/>
    <w:rsid w:val="00C56944"/>
    <w:rsid w:val="00C56EC8"/>
    <w:rsid w:val="00C56F8D"/>
    <w:rsid w:val="00C57315"/>
    <w:rsid w:val="00C57CD2"/>
    <w:rsid w:val="00C57D01"/>
    <w:rsid w:val="00C57DB2"/>
    <w:rsid w:val="00C604E4"/>
    <w:rsid w:val="00C606D7"/>
    <w:rsid w:val="00C60B3B"/>
    <w:rsid w:val="00C6105D"/>
    <w:rsid w:val="00C611F7"/>
    <w:rsid w:val="00C612F7"/>
    <w:rsid w:val="00C6142A"/>
    <w:rsid w:val="00C6151D"/>
    <w:rsid w:val="00C616E1"/>
    <w:rsid w:val="00C618F8"/>
    <w:rsid w:val="00C61C59"/>
    <w:rsid w:val="00C61F98"/>
    <w:rsid w:val="00C62043"/>
    <w:rsid w:val="00C62065"/>
    <w:rsid w:val="00C62C82"/>
    <w:rsid w:val="00C62CD1"/>
    <w:rsid w:val="00C62E82"/>
    <w:rsid w:val="00C6319D"/>
    <w:rsid w:val="00C639D4"/>
    <w:rsid w:val="00C63B34"/>
    <w:rsid w:val="00C63C46"/>
    <w:rsid w:val="00C6409B"/>
    <w:rsid w:val="00C64392"/>
    <w:rsid w:val="00C6468D"/>
    <w:rsid w:val="00C64967"/>
    <w:rsid w:val="00C64B89"/>
    <w:rsid w:val="00C64DA2"/>
    <w:rsid w:val="00C64DB8"/>
    <w:rsid w:val="00C64DCF"/>
    <w:rsid w:val="00C65550"/>
    <w:rsid w:val="00C6575A"/>
    <w:rsid w:val="00C65B97"/>
    <w:rsid w:val="00C65BA2"/>
    <w:rsid w:val="00C66192"/>
    <w:rsid w:val="00C66940"/>
    <w:rsid w:val="00C66965"/>
    <w:rsid w:val="00C669B3"/>
    <w:rsid w:val="00C66DF5"/>
    <w:rsid w:val="00C67074"/>
    <w:rsid w:val="00C67115"/>
    <w:rsid w:val="00C67BA3"/>
    <w:rsid w:val="00C67CB2"/>
    <w:rsid w:val="00C67D11"/>
    <w:rsid w:val="00C67D7A"/>
    <w:rsid w:val="00C7007A"/>
    <w:rsid w:val="00C7007D"/>
    <w:rsid w:val="00C7009D"/>
    <w:rsid w:val="00C70B29"/>
    <w:rsid w:val="00C70DBC"/>
    <w:rsid w:val="00C7102B"/>
    <w:rsid w:val="00C712F6"/>
    <w:rsid w:val="00C713D3"/>
    <w:rsid w:val="00C716DC"/>
    <w:rsid w:val="00C717B6"/>
    <w:rsid w:val="00C71852"/>
    <w:rsid w:val="00C71CB0"/>
    <w:rsid w:val="00C72526"/>
    <w:rsid w:val="00C727F1"/>
    <w:rsid w:val="00C72C11"/>
    <w:rsid w:val="00C72CAD"/>
    <w:rsid w:val="00C730CF"/>
    <w:rsid w:val="00C73529"/>
    <w:rsid w:val="00C735EE"/>
    <w:rsid w:val="00C73D2E"/>
    <w:rsid w:val="00C73D38"/>
    <w:rsid w:val="00C73D6A"/>
    <w:rsid w:val="00C73DF2"/>
    <w:rsid w:val="00C74471"/>
    <w:rsid w:val="00C7471C"/>
    <w:rsid w:val="00C749B9"/>
    <w:rsid w:val="00C754C2"/>
    <w:rsid w:val="00C75ABC"/>
    <w:rsid w:val="00C75BC4"/>
    <w:rsid w:val="00C760E7"/>
    <w:rsid w:val="00C7647A"/>
    <w:rsid w:val="00C766E2"/>
    <w:rsid w:val="00C76DC0"/>
    <w:rsid w:val="00C76EC2"/>
    <w:rsid w:val="00C770D1"/>
    <w:rsid w:val="00C776FE"/>
    <w:rsid w:val="00C77748"/>
    <w:rsid w:val="00C779D1"/>
    <w:rsid w:val="00C77B73"/>
    <w:rsid w:val="00C77D7B"/>
    <w:rsid w:val="00C8028B"/>
    <w:rsid w:val="00C803D4"/>
    <w:rsid w:val="00C80941"/>
    <w:rsid w:val="00C8094A"/>
    <w:rsid w:val="00C81377"/>
    <w:rsid w:val="00C813ED"/>
    <w:rsid w:val="00C81567"/>
    <w:rsid w:val="00C81839"/>
    <w:rsid w:val="00C81C39"/>
    <w:rsid w:val="00C81E90"/>
    <w:rsid w:val="00C81FD0"/>
    <w:rsid w:val="00C8223B"/>
    <w:rsid w:val="00C82249"/>
    <w:rsid w:val="00C822A1"/>
    <w:rsid w:val="00C822DB"/>
    <w:rsid w:val="00C825D8"/>
    <w:rsid w:val="00C82789"/>
    <w:rsid w:val="00C82A07"/>
    <w:rsid w:val="00C82A68"/>
    <w:rsid w:val="00C82B02"/>
    <w:rsid w:val="00C82B68"/>
    <w:rsid w:val="00C82FA8"/>
    <w:rsid w:val="00C830D3"/>
    <w:rsid w:val="00C8325F"/>
    <w:rsid w:val="00C836D8"/>
    <w:rsid w:val="00C838FA"/>
    <w:rsid w:val="00C8398E"/>
    <w:rsid w:val="00C83C36"/>
    <w:rsid w:val="00C83C94"/>
    <w:rsid w:val="00C83D85"/>
    <w:rsid w:val="00C84314"/>
    <w:rsid w:val="00C8436C"/>
    <w:rsid w:val="00C844A6"/>
    <w:rsid w:val="00C8496F"/>
    <w:rsid w:val="00C849B4"/>
    <w:rsid w:val="00C84A65"/>
    <w:rsid w:val="00C84B18"/>
    <w:rsid w:val="00C852E7"/>
    <w:rsid w:val="00C853CE"/>
    <w:rsid w:val="00C855D5"/>
    <w:rsid w:val="00C85AF1"/>
    <w:rsid w:val="00C85E04"/>
    <w:rsid w:val="00C85FAA"/>
    <w:rsid w:val="00C861B6"/>
    <w:rsid w:val="00C86747"/>
    <w:rsid w:val="00C86AD5"/>
    <w:rsid w:val="00C86D38"/>
    <w:rsid w:val="00C875FA"/>
    <w:rsid w:val="00C8795F"/>
    <w:rsid w:val="00C87E64"/>
    <w:rsid w:val="00C90187"/>
    <w:rsid w:val="00C90419"/>
    <w:rsid w:val="00C90B75"/>
    <w:rsid w:val="00C90BAB"/>
    <w:rsid w:val="00C90C1A"/>
    <w:rsid w:val="00C90D2C"/>
    <w:rsid w:val="00C90EBE"/>
    <w:rsid w:val="00C91208"/>
    <w:rsid w:val="00C912C9"/>
    <w:rsid w:val="00C914C7"/>
    <w:rsid w:val="00C91878"/>
    <w:rsid w:val="00C91B4C"/>
    <w:rsid w:val="00C91E0E"/>
    <w:rsid w:val="00C923A9"/>
    <w:rsid w:val="00C92B13"/>
    <w:rsid w:val="00C93195"/>
    <w:rsid w:val="00C9349A"/>
    <w:rsid w:val="00C937F3"/>
    <w:rsid w:val="00C9381D"/>
    <w:rsid w:val="00C9391D"/>
    <w:rsid w:val="00C93BEA"/>
    <w:rsid w:val="00C93C2F"/>
    <w:rsid w:val="00C93CD2"/>
    <w:rsid w:val="00C93D47"/>
    <w:rsid w:val="00C944E8"/>
    <w:rsid w:val="00C948E5"/>
    <w:rsid w:val="00C949F3"/>
    <w:rsid w:val="00C94AB6"/>
    <w:rsid w:val="00C94CE0"/>
    <w:rsid w:val="00C94E68"/>
    <w:rsid w:val="00C952EB"/>
    <w:rsid w:val="00C9550D"/>
    <w:rsid w:val="00C95758"/>
    <w:rsid w:val="00C95766"/>
    <w:rsid w:val="00C95B5F"/>
    <w:rsid w:val="00C95BBD"/>
    <w:rsid w:val="00C95E2D"/>
    <w:rsid w:val="00C95FB9"/>
    <w:rsid w:val="00C96053"/>
    <w:rsid w:val="00C96665"/>
    <w:rsid w:val="00C96736"/>
    <w:rsid w:val="00C967B8"/>
    <w:rsid w:val="00C97141"/>
    <w:rsid w:val="00C97D14"/>
    <w:rsid w:val="00C97ECE"/>
    <w:rsid w:val="00CA039A"/>
    <w:rsid w:val="00CA0730"/>
    <w:rsid w:val="00CA0840"/>
    <w:rsid w:val="00CA0DC3"/>
    <w:rsid w:val="00CA1120"/>
    <w:rsid w:val="00CA11E7"/>
    <w:rsid w:val="00CA1498"/>
    <w:rsid w:val="00CA17AA"/>
    <w:rsid w:val="00CA1EEB"/>
    <w:rsid w:val="00CA2136"/>
    <w:rsid w:val="00CA22A3"/>
    <w:rsid w:val="00CA2737"/>
    <w:rsid w:val="00CA2AAF"/>
    <w:rsid w:val="00CA2C8C"/>
    <w:rsid w:val="00CA2CE3"/>
    <w:rsid w:val="00CA2DA2"/>
    <w:rsid w:val="00CA2DB2"/>
    <w:rsid w:val="00CA3819"/>
    <w:rsid w:val="00CA3A7F"/>
    <w:rsid w:val="00CA3A97"/>
    <w:rsid w:val="00CA3DFB"/>
    <w:rsid w:val="00CA40F1"/>
    <w:rsid w:val="00CA5013"/>
    <w:rsid w:val="00CA50DA"/>
    <w:rsid w:val="00CA52F8"/>
    <w:rsid w:val="00CA5612"/>
    <w:rsid w:val="00CA5A9E"/>
    <w:rsid w:val="00CA6A68"/>
    <w:rsid w:val="00CA6AD6"/>
    <w:rsid w:val="00CA6D3B"/>
    <w:rsid w:val="00CA701B"/>
    <w:rsid w:val="00CA7105"/>
    <w:rsid w:val="00CA727D"/>
    <w:rsid w:val="00CA77E3"/>
    <w:rsid w:val="00CA7865"/>
    <w:rsid w:val="00CA7A26"/>
    <w:rsid w:val="00CA7B3B"/>
    <w:rsid w:val="00CB0397"/>
    <w:rsid w:val="00CB03E0"/>
    <w:rsid w:val="00CB0B90"/>
    <w:rsid w:val="00CB12D6"/>
    <w:rsid w:val="00CB1334"/>
    <w:rsid w:val="00CB14CB"/>
    <w:rsid w:val="00CB156F"/>
    <w:rsid w:val="00CB17FF"/>
    <w:rsid w:val="00CB1B09"/>
    <w:rsid w:val="00CB1C9B"/>
    <w:rsid w:val="00CB1E75"/>
    <w:rsid w:val="00CB20E8"/>
    <w:rsid w:val="00CB24CD"/>
    <w:rsid w:val="00CB2802"/>
    <w:rsid w:val="00CB2D72"/>
    <w:rsid w:val="00CB3754"/>
    <w:rsid w:val="00CB3755"/>
    <w:rsid w:val="00CB3857"/>
    <w:rsid w:val="00CB3E36"/>
    <w:rsid w:val="00CB409F"/>
    <w:rsid w:val="00CB4355"/>
    <w:rsid w:val="00CB4387"/>
    <w:rsid w:val="00CB474D"/>
    <w:rsid w:val="00CB4991"/>
    <w:rsid w:val="00CB5577"/>
    <w:rsid w:val="00CB589B"/>
    <w:rsid w:val="00CB5A7C"/>
    <w:rsid w:val="00CB5EE1"/>
    <w:rsid w:val="00CB62D8"/>
    <w:rsid w:val="00CB6444"/>
    <w:rsid w:val="00CB6633"/>
    <w:rsid w:val="00CB679C"/>
    <w:rsid w:val="00CB6928"/>
    <w:rsid w:val="00CB745F"/>
    <w:rsid w:val="00CB7DFB"/>
    <w:rsid w:val="00CC0121"/>
    <w:rsid w:val="00CC0396"/>
    <w:rsid w:val="00CC03B9"/>
    <w:rsid w:val="00CC0550"/>
    <w:rsid w:val="00CC075B"/>
    <w:rsid w:val="00CC0F2B"/>
    <w:rsid w:val="00CC10D9"/>
    <w:rsid w:val="00CC1630"/>
    <w:rsid w:val="00CC18C8"/>
    <w:rsid w:val="00CC1EBF"/>
    <w:rsid w:val="00CC214A"/>
    <w:rsid w:val="00CC21E6"/>
    <w:rsid w:val="00CC2838"/>
    <w:rsid w:val="00CC29C6"/>
    <w:rsid w:val="00CC29F1"/>
    <w:rsid w:val="00CC3547"/>
    <w:rsid w:val="00CC3603"/>
    <w:rsid w:val="00CC379B"/>
    <w:rsid w:val="00CC3C0F"/>
    <w:rsid w:val="00CC3FDB"/>
    <w:rsid w:val="00CC4040"/>
    <w:rsid w:val="00CC46AC"/>
    <w:rsid w:val="00CC470F"/>
    <w:rsid w:val="00CC479D"/>
    <w:rsid w:val="00CC4BA7"/>
    <w:rsid w:val="00CC510D"/>
    <w:rsid w:val="00CC5571"/>
    <w:rsid w:val="00CC5666"/>
    <w:rsid w:val="00CC5A61"/>
    <w:rsid w:val="00CC5FBC"/>
    <w:rsid w:val="00CC6244"/>
    <w:rsid w:val="00CC631E"/>
    <w:rsid w:val="00CC6ABC"/>
    <w:rsid w:val="00CC7055"/>
    <w:rsid w:val="00CC7092"/>
    <w:rsid w:val="00CC7225"/>
    <w:rsid w:val="00CC74FB"/>
    <w:rsid w:val="00CC7826"/>
    <w:rsid w:val="00CC792C"/>
    <w:rsid w:val="00CC7C11"/>
    <w:rsid w:val="00CD0184"/>
    <w:rsid w:val="00CD0922"/>
    <w:rsid w:val="00CD09B5"/>
    <w:rsid w:val="00CD0CE4"/>
    <w:rsid w:val="00CD15EC"/>
    <w:rsid w:val="00CD1630"/>
    <w:rsid w:val="00CD1B04"/>
    <w:rsid w:val="00CD1D2A"/>
    <w:rsid w:val="00CD1DF8"/>
    <w:rsid w:val="00CD27C5"/>
    <w:rsid w:val="00CD39E1"/>
    <w:rsid w:val="00CD40BB"/>
    <w:rsid w:val="00CD4158"/>
    <w:rsid w:val="00CD416E"/>
    <w:rsid w:val="00CD4403"/>
    <w:rsid w:val="00CD49EC"/>
    <w:rsid w:val="00CD4A31"/>
    <w:rsid w:val="00CD4E55"/>
    <w:rsid w:val="00CD4E79"/>
    <w:rsid w:val="00CD515A"/>
    <w:rsid w:val="00CD57AA"/>
    <w:rsid w:val="00CD5ED9"/>
    <w:rsid w:val="00CD6476"/>
    <w:rsid w:val="00CD685D"/>
    <w:rsid w:val="00CD6E69"/>
    <w:rsid w:val="00CD75B0"/>
    <w:rsid w:val="00CD7BF0"/>
    <w:rsid w:val="00CD7DE9"/>
    <w:rsid w:val="00CD7EB2"/>
    <w:rsid w:val="00CD7F73"/>
    <w:rsid w:val="00CE033C"/>
    <w:rsid w:val="00CE03AB"/>
    <w:rsid w:val="00CE06C2"/>
    <w:rsid w:val="00CE0938"/>
    <w:rsid w:val="00CE130C"/>
    <w:rsid w:val="00CE144D"/>
    <w:rsid w:val="00CE1683"/>
    <w:rsid w:val="00CE1845"/>
    <w:rsid w:val="00CE1B79"/>
    <w:rsid w:val="00CE1BB7"/>
    <w:rsid w:val="00CE1DAE"/>
    <w:rsid w:val="00CE1E84"/>
    <w:rsid w:val="00CE1FCD"/>
    <w:rsid w:val="00CE23FF"/>
    <w:rsid w:val="00CE24A2"/>
    <w:rsid w:val="00CE267B"/>
    <w:rsid w:val="00CE2696"/>
    <w:rsid w:val="00CE2BD4"/>
    <w:rsid w:val="00CE2C37"/>
    <w:rsid w:val="00CE2D46"/>
    <w:rsid w:val="00CE2F70"/>
    <w:rsid w:val="00CE304B"/>
    <w:rsid w:val="00CE322A"/>
    <w:rsid w:val="00CE32AA"/>
    <w:rsid w:val="00CE381A"/>
    <w:rsid w:val="00CE38D4"/>
    <w:rsid w:val="00CE3B35"/>
    <w:rsid w:val="00CE3E40"/>
    <w:rsid w:val="00CE4422"/>
    <w:rsid w:val="00CE4797"/>
    <w:rsid w:val="00CE4876"/>
    <w:rsid w:val="00CE4CA7"/>
    <w:rsid w:val="00CE4E2D"/>
    <w:rsid w:val="00CE5516"/>
    <w:rsid w:val="00CE5941"/>
    <w:rsid w:val="00CE59DE"/>
    <w:rsid w:val="00CE5A2D"/>
    <w:rsid w:val="00CE5A76"/>
    <w:rsid w:val="00CE60EB"/>
    <w:rsid w:val="00CE650E"/>
    <w:rsid w:val="00CE66C2"/>
    <w:rsid w:val="00CE6756"/>
    <w:rsid w:val="00CE677D"/>
    <w:rsid w:val="00CE6C99"/>
    <w:rsid w:val="00CE71B7"/>
    <w:rsid w:val="00CE75AA"/>
    <w:rsid w:val="00CE7D32"/>
    <w:rsid w:val="00CE7EE7"/>
    <w:rsid w:val="00CF03C6"/>
    <w:rsid w:val="00CF0405"/>
    <w:rsid w:val="00CF0681"/>
    <w:rsid w:val="00CF077F"/>
    <w:rsid w:val="00CF085A"/>
    <w:rsid w:val="00CF0867"/>
    <w:rsid w:val="00CF08E0"/>
    <w:rsid w:val="00CF0C43"/>
    <w:rsid w:val="00CF0E9D"/>
    <w:rsid w:val="00CF0F04"/>
    <w:rsid w:val="00CF15A1"/>
    <w:rsid w:val="00CF17FE"/>
    <w:rsid w:val="00CF185D"/>
    <w:rsid w:val="00CF1955"/>
    <w:rsid w:val="00CF1ABD"/>
    <w:rsid w:val="00CF1F52"/>
    <w:rsid w:val="00CF2016"/>
    <w:rsid w:val="00CF21D6"/>
    <w:rsid w:val="00CF220C"/>
    <w:rsid w:val="00CF23C8"/>
    <w:rsid w:val="00CF2861"/>
    <w:rsid w:val="00CF2AF6"/>
    <w:rsid w:val="00CF2C42"/>
    <w:rsid w:val="00CF2FC1"/>
    <w:rsid w:val="00CF31F7"/>
    <w:rsid w:val="00CF3846"/>
    <w:rsid w:val="00CF3922"/>
    <w:rsid w:val="00CF3B42"/>
    <w:rsid w:val="00CF4042"/>
    <w:rsid w:val="00CF40B1"/>
    <w:rsid w:val="00CF43E7"/>
    <w:rsid w:val="00CF487D"/>
    <w:rsid w:val="00CF4CA5"/>
    <w:rsid w:val="00CF4EBD"/>
    <w:rsid w:val="00CF51AA"/>
    <w:rsid w:val="00CF528C"/>
    <w:rsid w:val="00CF5334"/>
    <w:rsid w:val="00CF5AFA"/>
    <w:rsid w:val="00CF5CAE"/>
    <w:rsid w:val="00CF5E10"/>
    <w:rsid w:val="00CF5E3D"/>
    <w:rsid w:val="00CF6152"/>
    <w:rsid w:val="00CF65AE"/>
    <w:rsid w:val="00CF6620"/>
    <w:rsid w:val="00CF6746"/>
    <w:rsid w:val="00CF6BA2"/>
    <w:rsid w:val="00CF6F22"/>
    <w:rsid w:val="00CF76CB"/>
    <w:rsid w:val="00CF796F"/>
    <w:rsid w:val="00CF7CF7"/>
    <w:rsid w:val="00D00824"/>
    <w:rsid w:val="00D00869"/>
    <w:rsid w:val="00D00879"/>
    <w:rsid w:val="00D0091B"/>
    <w:rsid w:val="00D00A4A"/>
    <w:rsid w:val="00D00B4C"/>
    <w:rsid w:val="00D00D90"/>
    <w:rsid w:val="00D00F15"/>
    <w:rsid w:val="00D015BE"/>
    <w:rsid w:val="00D016C9"/>
    <w:rsid w:val="00D01EAA"/>
    <w:rsid w:val="00D01FE2"/>
    <w:rsid w:val="00D0230D"/>
    <w:rsid w:val="00D02388"/>
    <w:rsid w:val="00D023C0"/>
    <w:rsid w:val="00D029AD"/>
    <w:rsid w:val="00D02C58"/>
    <w:rsid w:val="00D02CA2"/>
    <w:rsid w:val="00D02E5A"/>
    <w:rsid w:val="00D0303D"/>
    <w:rsid w:val="00D03277"/>
    <w:rsid w:val="00D033A8"/>
    <w:rsid w:val="00D03734"/>
    <w:rsid w:val="00D037FF"/>
    <w:rsid w:val="00D0384F"/>
    <w:rsid w:val="00D04430"/>
    <w:rsid w:val="00D04472"/>
    <w:rsid w:val="00D04544"/>
    <w:rsid w:val="00D04772"/>
    <w:rsid w:val="00D04E4E"/>
    <w:rsid w:val="00D051F5"/>
    <w:rsid w:val="00D0589D"/>
    <w:rsid w:val="00D05C39"/>
    <w:rsid w:val="00D05D03"/>
    <w:rsid w:val="00D05DC0"/>
    <w:rsid w:val="00D061B6"/>
    <w:rsid w:val="00D061BE"/>
    <w:rsid w:val="00D06219"/>
    <w:rsid w:val="00D06347"/>
    <w:rsid w:val="00D067A0"/>
    <w:rsid w:val="00D0692C"/>
    <w:rsid w:val="00D07392"/>
    <w:rsid w:val="00D07CDC"/>
    <w:rsid w:val="00D1022D"/>
    <w:rsid w:val="00D10888"/>
    <w:rsid w:val="00D10D2A"/>
    <w:rsid w:val="00D10D2D"/>
    <w:rsid w:val="00D10E51"/>
    <w:rsid w:val="00D11565"/>
    <w:rsid w:val="00D11A7A"/>
    <w:rsid w:val="00D11B02"/>
    <w:rsid w:val="00D11DE3"/>
    <w:rsid w:val="00D12003"/>
    <w:rsid w:val="00D12162"/>
    <w:rsid w:val="00D124C9"/>
    <w:rsid w:val="00D12550"/>
    <w:rsid w:val="00D12562"/>
    <w:rsid w:val="00D12640"/>
    <w:rsid w:val="00D12ACE"/>
    <w:rsid w:val="00D1334A"/>
    <w:rsid w:val="00D13B1E"/>
    <w:rsid w:val="00D13BB9"/>
    <w:rsid w:val="00D13C08"/>
    <w:rsid w:val="00D13FA3"/>
    <w:rsid w:val="00D14669"/>
    <w:rsid w:val="00D15039"/>
    <w:rsid w:val="00D150C9"/>
    <w:rsid w:val="00D15176"/>
    <w:rsid w:val="00D15386"/>
    <w:rsid w:val="00D15AFB"/>
    <w:rsid w:val="00D15CF1"/>
    <w:rsid w:val="00D1654B"/>
    <w:rsid w:val="00D166E9"/>
    <w:rsid w:val="00D1680B"/>
    <w:rsid w:val="00D16945"/>
    <w:rsid w:val="00D174DC"/>
    <w:rsid w:val="00D17801"/>
    <w:rsid w:val="00D17BA0"/>
    <w:rsid w:val="00D17D5C"/>
    <w:rsid w:val="00D20809"/>
    <w:rsid w:val="00D211EB"/>
    <w:rsid w:val="00D214FB"/>
    <w:rsid w:val="00D21A67"/>
    <w:rsid w:val="00D21B02"/>
    <w:rsid w:val="00D21DC0"/>
    <w:rsid w:val="00D21FB6"/>
    <w:rsid w:val="00D2202F"/>
    <w:rsid w:val="00D22711"/>
    <w:rsid w:val="00D22856"/>
    <w:rsid w:val="00D22AB2"/>
    <w:rsid w:val="00D230DB"/>
    <w:rsid w:val="00D23333"/>
    <w:rsid w:val="00D2344A"/>
    <w:rsid w:val="00D237BD"/>
    <w:rsid w:val="00D237E3"/>
    <w:rsid w:val="00D2389A"/>
    <w:rsid w:val="00D2394A"/>
    <w:rsid w:val="00D23C4A"/>
    <w:rsid w:val="00D245DE"/>
    <w:rsid w:val="00D24B97"/>
    <w:rsid w:val="00D24CF6"/>
    <w:rsid w:val="00D24D8E"/>
    <w:rsid w:val="00D25999"/>
    <w:rsid w:val="00D25B47"/>
    <w:rsid w:val="00D25D8A"/>
    <w:rsid w:val="00D260A6"/>
    <w:rsid w:val="00D260B4"/>
    <w:rsid w:val="00D26281"/>
    <w:rsid w:val="00D26672"/>
    <w:rsid w:val="00D26739"/>
    <w:rsid w:val="00D26961"/>
    <w:rsid w:val="00D26D38"/>
    <w:rsid w:val="00D27357"/>
    <w:rsid w:val="00D27551"/>
    <w:rsid w:val="00D27D3F"/>
    <w:rsid w:val="00D30336"/>
    <w:rsid w:val="00D3046B"/>
    <w:rsid w:val="00D30FDF"/>
    <w:rsid w:val="00D31449"/>
    <w:rsid w:val="00D314BD"/>
    <w:rsid w:val="00D31999"/>
    <w:rsid w:val="00D319E5"/>
    <w:rsid w:val="00D31D53"/>
    <w:rsid w:val="00D328BE"/>
    <w:rsid w:val="00D32B36"/>
    <w:rsid w:val="00D332ED"/>
    <w:rsid w:val="00D33602"/>
    <w:rsid w:val="00D33609"/>
    <w:rsid w:val="00D34251"/>
    <w:rsid w:val="00D34A06"/>
    <w:rsid w:val="00D34C8E"/>
    <w:rsid w:val="00D34DA6"/>
    <w:rsid w:val="00D34E7E"/>
    <w:rsid w:val="00D34EA3"/>
    <w:rsid w:val="00D34F63"/>
    <w:rsid w:val="00D34F7C"/>
    <w:rsid w:val="00D34F8F"/>
    <w:rsid w:val="00D35524"/>
    <w:rsid w:val="00D35D66"/>
    <w:rsid w:val="00D35EB5"/>
    <w:rsid w:val="00D36279"/>
    <w:rsid w:val="00D36299"/>
    <w:rsid w:val="00D3632B"/>
    <w:rsid w:val="00D363DC"/>
    <w:rsid w:val="00D36536"/>
    <w:rsid w:val="00D36957"/>
    <w:rsid w:val="00D36D4F"/>
    <w:rsid w:val="00D37122"/>
    <w:rsid w:val="00D37303"/>
    <w:rsid w:val="00D3748E"/>
    <w:rsid w:val="00D375B5"/>
    <w:rsid w:val="00D3785C"/>
    <w:rsid w:val="00D37A08"/>
    <w:rsid w:val="00D405BB"/>
    <w:rsid w:val="00D40D80"/>
    <w:rsid w:val="00D4116C"/>
    <w:rsid w:val="00D41407"/>
    <w:rsid w:val="00D41566"/>
    <w:rsid w:val="00D41C70"/>
    <w:rsid w:val="00D4226F"/>
    <w:rsid w:val="00D4299C"/>
    <w:rsid w:val="00D42CA0"/>
    <w:rsid w:val="00D434E5"/>
    <w:rsid w:val="00D43733"/>
    <w:rsid w:val="00D43A5A"/>
    <w:rsid w:val="00D43B53"/>
    <w:rsid w:val="00D43D4A"/>
    <w:rsid w:val="00D442AD"/>
    <w:rsid w:val="00D443BF"/>
    <w:rsid w:val="00D447BA"/>
    <w:rsid w:val="00D44BB6"/>
    <w:rsid w:val="00D44DF2"/>
    <w:rsid w:val="00D44FAC"/>
    <w:rsid w:val="00D4520A"/>
    <w:rsid w:val="00D45271"/>
    <w:rsid w:val="00D458BD"/>
    <w:rsid w:val="00D45A05"/>
    <w:rsid w:val="00D46081"/>
    <w:rsid w:val="00D460D7"/>
    <w:rsid w:val="00D462F9"/>
    <w:rsid w:val="00D47132"/>
    <w:rsid w:val="00D47203"/>
    <w:rsid w:val="00D4737F"/>
    <w:rsid w:val="00D47416"/>
    <w:rsid w:val="00D475D1"/>
    <w:rsid w:val="00D4768A"/>
    <w:rsid w:val="00D476BD"/>
    <w:rsid w:val="00D47975"/>
    <w:rsid w:val="00D47A90"/>
    <w:rsid w:val="00D47CEF"/>
    <w:rsid w:val="00D47F87"/>
    <w:rsid w:val="00D50080"/>
    <w:rsid w:val="00D50346"/>
    <w:rsid w:val="00D5034E"/>
    <w:rsid w:val="00D505F8"/>
    <w:rsid w:val="00D50974"/>
    <w:rsid w:val="00D50CEB"/>
    <w:rsid w:val="00D50E88"/>
    <w:rsid w:val="00D50F60"/>
    <w:rsid w:val="00D51050"/>
    <w:rsid w:val="00D51CF9"/>
    <w:rsid w:val="00D51DB2"/>
    <w:rsid w:val="00D525D3"/>
    <w:rsid w:val="00D5260E"/>
    <w:rsid w:val="00D526D8"/>
    <w:rsid w:val="00D527BD"/>
    <w:rsid w:val="00D529C7"/>
    <w:rsid w:val="00D529D3"/>
    <w:rsid w:val="00D52E44"/>
    <w:rsid w:val="00D535C5"/>
    <w:rsid w:val="00D538BE"/>
    <w:rsid w:val="00D53BA4"/>
    <w:rsid w:val="00D54672"/>
    <w:rsid w:val="00D550FE"/>
    <w:rsid w:val="00D55158"/>
    <w:rsid w:val="00D55374"/>
    <w:rsid w:val="00D554C2"/>
    <w:rsid w:val="00D55947"/>
    <w:rsid w:val="00D55BD6"/>
    <w:rsid w:val="00D55D7B"/>
    <w:rsid w:val="00D565C1"/>
    <w:rsid w:val="00D56734"/>
    <w:rsid w:val="00D56826"/>
    <w:rsid w:val="00D56852"/>
    <w:rsid w:val="00D56A83"/>
    <w:rsid w:val="00D56DCD"/>
    <w:rsid w:val="00D56E07"/>
    <w:rsid w:val="00D56E66"/>
    <w:rsid w:val="00D5744C"/>
    <w:rsid w:val="00D57776"/>
    <w:rsid w:val="00D57990"/>
    <w:rsid w:val="00D57C20"/>
    <w:rsid w:val="00D57C2B"/>
    <w:rsid w:val="00D57D78"/>
    <w:rsid w:val="00D6035F"/>
    <w:rsid w:val="00D60433"/>
    <w:rsid w:val="00D608ED"/>
    <w:rsid w:val="00D6090D"/>
    <w:rsid w:val="00D609E7"/>
    <w:rsid w:val="00D60E24"/>
    <w:rsid w:val="00D60FFB"/>
    <w:rsid w:val="00D610E8"/>
    <w:rsid w:val="00D6122D"/>
    <w:rsid w:val="00D61512"/>
    <w:rsid w:val="00D61634"/>
    <w:rsid w:val="00D61B79"/>
    <w:rsid w:val="00D61BCA"/>
    <w:rsid w:val="00D61C94"/>
    <w:rsid w:val="00D62CB8"/>
    <w:rsid w:val="00D62FA0"/>
    <w:rsid w:val="00D62FF4"/>
    <w:rsid w:val="00D6329F"/>
    <w:rsid w:val="00D63572"/>
    <w:rsid w:val="00D63A0B"/>
    <w:rsid w:val="00D63B9E"/>
    <w:rsid w:val="00D63BF2"/>
    <w:rsid w:val="00D646B2"/>
    <w:rsid w:val="00D64B94"/>
    <w:rsid w:val="00D64C53"/>
    <w:rsid w:val="00D64CBF"/>
    <w:rsid w:val="00D64F44"/>
    <w:rsid w:val="00D65294"/>
    <w:rsid w:val="00D652CD"/>
    <w:rsid w:val="00D6581C"/>
    <w:rsid w:val="00D65949"/>
    <w:rsid w:val="00D660F6"/>
    <w:rsid w:val="00D66243"/>
    <w:rsid w:val="00D66271"/>
    <w:rsid w:val="00D66286"/>
    <w:rsid w:val="00D662E7"/>
    <w:rsid w:val="00D663AB"/>
    <w:rsid w:val="00D666FC"/>
    <w:rsid w:val="00D66849"/>
    <w:rsid w:val="00D66FC1"/>
    <w:rsid w:val="00D672CF"/>
    <w:rsid w:val="00D6773C"/>
    <w:rsid w:val="00D67DA1"/>
    <w:rsid w:val="00D67E48"/>
    <w:rsid w:val="00D70225"/>
    <w:rsid w:val="00D704B8"/>
    <w:rsid w:val="00D70AC4"/>
    <w:rsid w:val="00D70B20"/>
    <w:rsid w:val="00D70E75"/>
    <w:rsid w:val="00D70E9C"/>
    <w:rsid w:val="00D70EE5"/>
    <w:rsid w:val="00D71256"/>
    <w:rsid w:val="00D7136A"/>
    <w:rsid w:val="00D7138D"/>
    <w:rsid w:val="00D71B53"/>
    <w:rsid w:val="00D71D13"/>
    <w:rsid w:val="00D720E1"/>
    <w:rsid w:val="00D728BD"/>
    <w:rsid w:val="00D72954"/>
    <w:rsid w:val="00D7299D"/>
    <w:rsid w:val="00D72A07"/>
    <w:rsid w:val="00D72AC8"/>
    <w:rsid w:val="00D72B44"/>
    <w:rsid w:val="00D72FC2"/>
    <w:rsid w:val="00D73494"/>
    <w:rsid w:val="00D734DD"/>
    <w:rsid w:val="00D73853"/>
    <w:rsid w:val="00D73C2D"/>
    <w:rsid w:val="00D73FD9"/>
    <w:rsid w:val="00D745ED"/>
    <w:rsid w:val="00D7462E"/>
    <w:rsid w:val="00D74755"/>
    <w:rsid w:val="00D74B07"/>
    <w:rsid w:val="00D74BC9"/>
    <w:rsid w:val="00D74C10"/>
    <w:rsid w:val="00D75466"/>
    <w:rsid w:val="00D758B1"/>
    <w:rsid w:val="00D75CC9"/>
    <w:rsid w:val="00D75F2F"/>
    <w:rsid w:val="00D76D79"/>
    <w:rsid w:val="00D773B6"/>
    <w:rsid w:val="00D7745C"/>
    <w:rsid w:val="00D777D0"/>
    <w:rsid w:val="00D77A1D"/>
    <w:rsid w:val="00D77AC3"/>
    <w:rsid w:val="00D77B97"/>
    <w:rsid w:val="00D77C39"/>
    <w:rsid w:val="00D77D7C"/>
    <w:rsid w:val="00D80594"/>
    <w:rsid w:val="00D80B7E"/>
    <w:rsid w:val="00D80CFA"/>
    <w:rsid w:val="00D81348"/>
    <w:rsid w:val="00D81396"/>
    <w:rsid w:val="00D814B8"/>
    <w:rsid w:val="00D8163D"/>
    <w:rsid w:val="00D81828"/>
    <w:rsid w:val="00D81948"/>
    <w:rsid w:val="00D81A7E"/>
    <w:rsid w:val="00D81B84"/>
    <w:rsid w:val="00D81C0C"/>
    <w:rsid w:val="00D81E77"/>
    <w:rsid w:val="00D828EC"/>
    <w:rsid w:val="00D82923"/>
    <w:rsid w:val="00D82AF3"/>
    <w:rsid w:val="00D82C37"/>
    <w:rsid w:val="00D840B4"/>
    <w:rsid w:val="00D84385"/>
    <w:rsid w:val="00D843D0"/>
    <w:rsid w:val="00D843EE"/>
    <w:rsid w:val="00D846FE"/>
    <w:rsid w:val="00D84726"/>
    <w:rsid w:val="00D84865"/>
    <w:rsid w:val="00D84A2A"/>
    <w:rsid w:val="00D84AE9"/>
    <w:rsid w:val="00D84D11"/>
    <w:rsid w:val="00D84D8D"/>
    <w:rsid w:val="00D85707"/>
    <w:rsid w:val="00D85765"/>
    <w:rsid w:val="00D85CE5"/>
    <w:rsid w:val="00D85D91"/>
    <w:rsid w:val="00D85FAF"/>
    <w:rsid w:val="00D865BF"/>
    <w:rsid w:val="00D86672"/>
    <w:rsid w:val="00D86B27"/>
    <w:rsid w:val="00D86CF3"/>
    <w:rsid w:val="00D86D18"/>
    <w:rsid w:val="00D86D92"/>
    <w:rsid w:val="00D86E14"/>
    <w:rsid w:val="00D86ED8"/>
    <w:rsid w:val="00D8787E"/>
    <w:rsid w:val="00D87A4B"/>
    <w:rsid w:val="00D87E77"/>
    <w:rsid w:val="00D900F3"/>
    <w:rsid w:val="00D90831"/>
    <w:rsid w:val="00D91642"/>
    <w:rsid w:val="00D91CEB"/>
    <w:rsid w:val="00D920F4"/>
    <w:rsid w:val="00D92689"/>
    <w:rsid w:val="00D92744"/>
    <w:rsid w:val="00D927AF"/>
    <w:rsid w:val="00D931AF"/>
    <w:rsid w:val="00D93B02"/>
    <w:rsid w:val="00D93B0C"/>
    <w:rsid w:val="00D93B89"/>
    <w:rsid w:val="00D93CD5"/>
    <w:rsid w:val="00D93CF4"/>
    <w:rsid w:val="00D943CB"/>
    <w:rsid w:val="00D946F3"/>
    <w:rsid w:val="00D94BCB"/>
    <w:rsid w:val="00D94C03"/>
    <w:rsid w:val="00D94C63"/>
    <w:rsid w:val="00D94FAC"/>
    <w:rsid w:val="00D952FC"/>
    <w:rsid w:val="00D9581A"/>
    <w:rsid w:val="00D95A32"/>
    <w:rsid w:val="00D95DF5"/>
    <w:rsid w:val="00D95EE0"/>
    <w:rsid w:val="00D966D3"/>
    <w:rsid w:val="00D966F1"/>
    <w:rsid w:val="00D9689C"/>
    <w:rsid w:val="00D96ED9"/>
    <w:rsid w:val="00D97524"/>
    <w:rsid w:val="00D97587"/>
    <w:rsid w:val="00D97AC1"/>
    <w:rsid w:val="00D97B52"/>
    <w:rsid w:val="00D97D10"/>
    <w:rsid w:val="00D97D4D"/>
    <w:rsid w:val="00DA023B"/>
    <w:rsid w:val="00DA06A8"/>
    <w:rsid w:val="00DA0B34"/>
    <w:rsid w:val="00DA0DC8"/>
    <w:rsid w:val="00DA0E30"/>
    <w:rsid w:val="00DA1742"/>
    <w:rsid w:val="00DA2016"/>
    <w:rsid w:val="00DA2074"/>
    <w:rsid w:val="00DA2169"/>
    <w:rsid w:val="00DA240A"/>
    <w:rsid w:val="00DA29A2"/>
    <w:rsid w:val="00DA2E72"/>
    <w:rsid w:val="00DA39D8"/>
    <w:rsid w:val="00DA3E9C"/>
    <w:rsid w:val="00DA3FBD"/>
    <w:rsid w:val="00DA43F2"/>
    <w:rsid w:val="00DA44C3"/>
    <w:rsid w:val="00DA4532"/>
    <w:rsid w:val="00DA453D"/>
    <w:rsid w:val="00DA47EA"/>
    <w:rsid w:val="00DA504C"/>
    <w:rsid w:val="00DA5547"/>
    <w:rsid w:val="00DA55AE"/>
    <w:rsid w:val="00DA56E6"/>
    <w:rsid w:val="00DA5A04"/>
    <w:rsid w:val="00DA5C24"/>
    <w:rsid w:val="00DA61E4"/>
    <w:rsid w:val="00DA71E3"/>
    <w:rsid w:val="00DA76C7"/>
    <w:rsid w:val="00DA78E2"/>
    <w:rsid w:val="00DB0D64"/>
    <w:rsid w:val="00DB0E1B"/>
    <w:rsid w:val="00DB0FCE"/>
    <w:rsid w:val="00DB12A0"/>
    <w:rsid w:val="00DB130A"/>
    <w:rsid w:val="00DB18C5"/>
    <w:rsid w:val="00DB24E6"/>
    <w:rsid w:val="00DB26E6"/>
    <w:rsid w:val="00DB27E6"/>
    <w:rsid w:val="00DB2C41"/>
    <w:rsid w:val="00DB34A6"/>
    <w:rsid w:val="00DB3A4E"/>
    <w:rsid w:val="00DB3B59"/>
    <w:rsid w:val="00DB3B79"/>
    <w:rsid w:val="00DB3E32"/>
    <w:rsid w:val="00DB4409"/>
    <w:rsid w:val="00DB47A1"/>
    <w:rsid w:val="00DB4973"/>
    <w:rsid w:val="00DB4CD2"/>
    <w:rsid w:val="00DB4E0B"/>
    <w:rsid w:val="00DB5486"/>
    <w:rsid w:val="00DB5839"/>
    <w:rsid w:val="00DB623A"/>
    <w:rsid w:val="00DB6388"/>
    <w:rsid w:val="00DB643C"/>
    <w:rsid w:val="00DB659F"/>
    <w:rsid w:val="00DB6695"/>
    <w:rsid w:val="00DB689A"/>
    <w:rsid w:val="00DB68F7"/>
    <w:rsid w:val="00DB6CB3"/>
    <w:rsid w:val="00DB77F8"/>
    <w:rsid w:val="00DC03FB"/>
    <w:rsid w:val="00DC04E2"/>
    <w:rsid w:val="00DC0845"/>
    <w:rsid w:val="00DC0990"/>
    <w:rsid w:val="00DC10F7"/>
    <w:rsid w:val="00DC1767"/>
    <w:rsid w:val="00DC1923"/>
    <w:rsid w:val="00DC1B15"/>
    <w:rsid w:val="00DC1BE4"/>
    <w:rsid w:val="00DC2079"/>
    <w:rsid w:val="00DC2149"/>
    <w:rsid w:val="00DC21FC"/>
    <w:rsid w:val="00DC29EA"/>
    <w:rsid w:val="00DC30E9"/>
    <w:rsid w:val="00DC30F5"/>
    <w:rsid w:val="00DC3456"/>
    <w:rsid w:val="00DC35C0"/>
    <w:rsid w:val="00DC3632"/>
    <w:rsid w:val="00DC3782"/>
    <w:rsid w:val="00DC3B42"/>
    <w:rsid w:val="00DC3B95"/>
    <w:rsid w:val="00DC42E0"/>
    <w:rsid w:val="00DC4629"/>
    <w:rsid w:val="00DC4877"/>
    <w:rsid w:val="00DC4982"/>
    <w:rsid w:val="00DC5093"/>
    <w:rsid w:val="00DC5133"/>
    <w:rsid w:val="00DC58AE"/>
    <w:rsid w:val="00DC5982"/>
    <w:rsid w:val="00DC5F43"/>
    <w:rsid w:val="00DC6137"/>
    <w:rsid w:val="00DC6280"/>
    <w:rsid w:val="00DC62A6"/>
    <w:rsid w:val="00DC647F"/>
    <w:rsid w:val="00DC6501"/>
    <w:rsid w:val="00DC6545"/>
    <w:rsid w:val="00DC6562"/>
    <w:rsid w:val="00DC6CE9"/>
    <w:rsid w:val="00DC6F46"/>
    <w:rsid w:val="00DC6F55"/>
    <w:rsid w:val="00DC706A"/>
    <w:rsid w:val="00DC71F9"/>
    <w:rsid w:val="00DC71FD"/>
    <w:rsid w:val="00DC7668"/>
    <w:rsid w:val="00DC784D"/>
    <w:rsid w:val="00DC79ED"/>
    <w:rsid w:val="00DC7B8F"/>
    <w:rsid w:val="00DD0279"/>
    <w:rsid w:val="00DD0390"/>
    <w:rsid w:val="00DD0A28"/>
    <w:rsid w:val="00DD0B7C"/>
    <w:rsid w:val="00DD0BB1"/>
    <w:rsid w:val="00DD108B"/>
    <w:rsid w:val="00DD1379"/>
    <w:rsid w:val="00DD155B"/>
    <w:rsid w:val="00DD15EF"/>
    <w:rsid w:val="00DD1698"/>
    <w:rsid w:val="00DD1792"/>
    <w:rsid w:val="00DD22BF"/>
    <w:rsid w:val="00DD2963"/>
    <w:rsid w:val="00DD2A1E"/>
    <w:rsid w:val="00DD2CC6"/>
    <w:rsid w:val="00DD2D9D"/>
    <w:rsid w:val="00DD2F92"/>
    <w:rsid w:val="00DD3837"/>
    <w:rsid w:val="00DD39F1"/>
    <w:rsid w:val="00DD3D82"/>
    <w:rsid w:val="00DD3DC2"/>
    <w:rsid w:val="00DD3E2B"/>
    <w:rsid w:val="00DD4093"/>
    <w:rsid w:val="00DD4433"/>
    <w:rsid w:val="00DD47CF"/>
    <w:rsid w:val="00DD486A"/>
    <w:rsid w:val="00DD49BC"/>
    <w:rsid w:val="00DD4A9A"/>
    <w:rsid w:val="00DD53BD"/>
    <w:rsid w:val="00DD5546"/>
    <w:rsid w:val="00DD5647"/>
    <w:rsid w:val="00DD5F3F"/>
    <w:rsid w:val="00DD6065"/>
    <w:rsid w:val="00DD60E8"/>
    <w:rsid w:val="00DD6232"/>
    <w:rsid w:val="00DD6375"/>
    <w:rsid w:val="00DD63F9"/>
    <w:rsid w:val="00DD6790"/>
    <w:rsid w:val="00DD70C1"/>
    <w:rsid w:val="00DD7115"/>
    <w:rsid w:val="00DD719F"/>
    <w:rsid w:val="00DD7228"/>
    <w:rsid w:val="00DD791F"/>
    <w:rsid w:val="00DD79F1"/>
    <w:rsid w:val="00DD7A57"/>
    <w:rsid w:val="00DE0732"/>
    <w:rsid w:val="00DE0BA0"/>
    <w:rsid w:val="00DE0CD0"/>
    <w:rsid w:val="00DE1864"/>
    <w:rsid w:val="00DE18C1"/>
    <w:rsid w:val="00DE1BE2"/>
    <w:rsid w:val="00DE1D3F"/>
    <w:rsid w:val="00DE2215"/>
    <w:rsid w:val="00DE232F"/>
    <w:rsid w:val="00DE250F"/>
    <w:rsid w:val="00DE2D82"/>
    <w:rsid w:val="00DE2E88"/>
    <w:rsid w:val="00DE2F2D"/>
    <w:rsid w:val="00DE3AB2"/>
    <w:rsid w:val="00DE3CE6"/>
    <w:rsid w:val="00DE3D19"/>
    <w:rsid w:val="00DE3D42"/>
    <w:rsid w:val="00DE3D57"/>
    <w:rsid w:val="00DE403C"/>
    <w:rsid w:val="00DE44B9"/>
    <w:rsid w:val="00DE452C"/>
    <w:rsid w:val="00DE4753"/>
    <w:rsid w:val="00DE4AE5"/>
    <w:rsid w:val="00DE4DAD"/>
    <w:rsid w:val="00DE53E9"/>
    <w:rsid w:val="00DE5973"/>
    <w:rsid w:val="00DE5A20"/>
    <w:rsid w:val="00DE5C79"/>
    <w:rsid w:val="00DE5EE5"/>
    <w:rsid w:val="00DE6098"/>
    <w:rsid w:val="00DE6501"/>
    <w:rsid w:val="00DE7528"/>
    <w:rsid w:val="00DE7594"/>
    <w:rsid w:val="00DE7621"/>
    <w:rsid w:val="00DE77CC"/>
    <w:rsid w:val="00DE7976"/>
    <w:rsid w:val="00DE7B3F"/>
    <w:rsid w:val="00DF01B8"/>
    <w:rsid w:val="00DF0561"/>
    <w:rsid w:val="00DF05D3"/>
    <w:rsid w:val="00DF06A3"/>
    <w:rsid w:val="00DF0A65"/>
    <w:rsid w:val="00DF0CD5"/>
    <w:rsid w:val="00DF123B"/>
    <w:rsid w:val="00DF1547"/>
    <w:rsid w:val="00DF1CD4"/>
    <w:rsid w:val="00DF1EA3"/>
    <w:rsid w:val="00DF1F84"/>
    <w:rsid w:val="00DF21B9"/>
    <w:rsid w:val="00DF28FB"/>
    <w:rsid w:val="00DF2AD5"/>
    <w:rsid w:val="00DF2FB2"/>
    <w:rsid w:val="00DF2FDD"/>
    <w:rsid w:val="00DF3143"/>
    <w:rsid w:val="00DF32C8"/>
    <w:rsid w:val="00DF3301"/>
    <w:rsid w:val="00DF3498"/>
    <w:rsid w:val="00DF36E4"/>
    <w:rsid w:val="00DF37E0"/>
    <w:rsid w:val="00DF389B"/>
    <w:rsid w:val="00DF3977"/>
    <w:rsid w:val="00DF3A6F"/>
    <w:rsid w:val="00DF3BEB"/>
    <w:rsid w:val="00DF3C35"/>
    <w:rsid w:val="00DF3FF5"/>
    <w:rsid w:val="00DF407C"/>
    <w:rsid w:val="00DF43A1"/>
    <w:rsid w:val="00DF477D"/>
    <w:rsid w:val="00DF488A"/>
    <w:rsid w:val="00DF489F"/>
    <w:rsid w:val="00DF4B90"/>
    <w:rsid w:val="00DF4FF1"/>
    <w:rsid w:val="00DF51C8"/>
    <w:rsid w:val="00DF55F0"/>
    <w:rsid w:val="00DF5716"/>
    <w:rsid w:val="00DF632E"/>
    <w:rsid w:val="00DF67CC"/>
    <w:rsid w:val="00DF67CF"/>
    <w:rsid w:val="00DF6AC2"/>
    <w:rsid w:val="00DF6D9D"/>
    <w:rsid w:val="00DF6F8F"/>
    <w:rsid w:val="00DF7009"/>
    <w:rsid w:val="00DF75D4"/>
    <w:rsid w:val="00DF761E"/>
    <w:rsid w:val="00DF78C4"/>
    <w:rsid w:val="00DF7CB4"/>
    <w:rsid w:val="00DF7E35"/>
    <w:rsid w:val="00DF7F5A"/>
    <w:rsid w:val="00E000CB"/>
    <w:rsid w:val="00E00987"/>
    <w:rsid w:val="00E00ABC"/>
    <w:rsid w:val="00E00C71"/>
    <w:rsid w:val="00E00EF8"/>
    <w:rsid w:val="00E00F8E"/>
    <w:rsid w:val="00E00FB4"/>
    <w:rsid w:val="00E0125C"/>
    <w:rsid w:val="00E01320"/>
    <w:rsid w:val="00E0132C"/>
    <w:rsid w:val="00E01B3C"/>
    <w:rsid w:val="00E01DE0"/>
    <w:rsid w:val="00E01E6B"/>
    <w:rsid w:val="00E01F3C"/>
    <w:rsid w:val="00E01FE7"/>
    <w:rsid w:val="00E020A7"/>
    <w:rsid w:val="00E02196"/>
    <w:rsid w:val="00E02474"/>
    <w:rsid w:val="00E024FB"/>
    <w:rsid w:val="00E025A1"/>
    <w:rsid w:val="00E025F4"/>
    <w:rsid w:val="00E02769"/>
    <w:rsid w:val="00E0278D"/>
    <w:rsid w:val="00E02819"/>
    <w:rsid w:val="00E02967"/>
    <w:rsid w:val="00E029E6"/>
    <w:rsid w:val="00E02B3C"/>
    <w:rsid w:val="00E02E4A"/>
    <w:rsid w:val="00E03402"/>
    <w:rsid w:val="00E03C5C"/>
    <w:rsid w:val="00E04324"/>
    <w:rsid w:val="00E04426"/>
    <w:rsid w:val="00E0476B"/>
    <w:rsid w:val="00E054DC"/>
    <w:rsid w:val="00E0580E"/>
    <w:rsid w:val="00E05845"/>
    <w:rsid w:val="00E05DFF"/>
    <w:rsid w:val="00E05E3D"/>
    <w:rsid w:val="00E05E6D"/>
    <w:rsid w:val="00E0603F"/>
    <w:rsid w:val="00E06149"/>
    <w:rsid w:val="00E06323"/>
    <w:rsid w:val="00E0659B"/>
    <w:rsid w:val="00E065D5"/>
    <w:rsid w:val="00E06CE6"/>
    <w:rsid w:val="00E06D35"/>
    <w:rsid w:val="00E070D1"/>
    <w:rsid w:val="00E0758D"/>
    <w:rsid w:val="00E077EC"/>
    <w:rsid w:val="00E079D8"/>
    <w:rsid w:val="00E07CD2"/>
    <w:rsid w:val="00E10591"/>
    <w:rsid w:val="00E10A8B"/>
    <w:rsid w:val="00E111F9"/>
    <w:rsid w:val="00E11A65"/>
    <w:rsid w:val="00E11C03"/>
    <w:rsid w:val="00E11C32"/>
    <w:rsid w:val="00E11C9D"/>
    <w:rsid w:val="00E12027"/>
    <w:rsid w:val="00E12535"/>
    <w:rsid w:val="00E12C15"/>
    <w:rsid w:val="00E12F1A"/>
    <w:rsid w:val="00E1313D"/>
    <w:rsid w:val="00E134A4"/>
    <w:rsid w:val="00E134C0"/>
    <w:rsid w:val="00E13B5A"/>
    <w:rsid w:val="00E13B99"/>
    <w:rsid w:val="00E1426A"/>
    <w:rsid w:val="00E14524"/>
    <w:rsid w:val="00E1470C"/>
    <w:rsid w:val="00E14C77"/>
    <w:rsid w:val="00E14EBC"/>
    <w:rsid w:val="00E151AF"/>
    <w:rsid w:val="00E152F4"/>
    <w:rsid w:val="00E1531B"/>
    <w:rsid w:val="00E15399"/>
    <w:rsid w:val="00E15469"/>
    <w:rsid w:val="00E154DA"/>
    <w:rsid w:val="00E15B43"/>
    <w:rsid w:val="00E168E0"/>
    <w:rsid w:val="00E169B6"/>
    <w:rsid w:val="00E16AD9"/>
    <w:rsid w:val="00E16C47"/>
    <w:rsid w:val="00E17E3E"/>
    <w:rsid w:val="00E17FCD"/>
    <w:rsid w:val="00E20521"/>
    <w:rsid w:val="00E20AAD"/>
    <w:rsid w:val="00E20B9F"/>
    <w:rsid w:val="00E20F72"/>
    <w:rsid w:val="00E2178C"/>
    <w:rsid w:val="00E21810"/>
    <w:rsid w:val="00E21BDB"/>
    <w:rsid w:val="00E21BF6"/>
    <w:rsid w:val="00E21D45"/>
    <w:rsid w:val="00E21D51"/>
    <w:rsid w:val="00E222D1"/>
    <w:rsid w:val="00E22423"/>
    <w:rsid w:val="00E22671"/>
    <w:rsid w:val="00E22BBB"/>
    <w:rsid w:val="00E22D63"/>
    <w:rsid w:val="00E238DB"/>
    <w:rsid w:val="00E23928"/>
    <w:rsid w:val="00E23B5B"/>
    <w:rsid w:val="00E240B5"/>
    <w:rsid w:val="00E24533"/>
    <w:rsid w:val="00E24562"/>
    <w:rsid w:val="00E245A6"/>
    <w:rsid w:val="00E24DFF"/>
    <w:rsid w:val="00E24E02"/>
    <w:rsid w:val="00E24E23"/>
    <w:rsid w:val="00E2536C"/>
    <w:rsid w:val="00E25429"/>
    <w:rsid w:val="00E25607"/>
    <w:rsid w:val="00E259DD"/>
    <w:rsid w:val="00E25F71"/>
    <w:rsid w:val="00E26125"/>
    <w:rsid w:val="00E26D22"/>
    <w:rsid w:val="00E26FEE"/>
    <w:rsid w:val="00E2711A"/>
    <w:rsid w:val="00E27236"/>
    <w:rsid w:val="00E2724D"/>
    <w:rsid w:val="00E272A2"/>
    <w:rsid w:val="00E27CDE"/>
    <w:rsid w:val="00E30030"/>
    <w:rsid w:val="00E3015C"/>
    <w:rsid w:val="00E301DB"/>
    <w:rsid w:val="00E302AA"/>
    <w:rsid w:val="00E30539"/>
    <w:rsid w:val="00E3073D"/>
    <w:rsid w:val="00E313B1"/>
    <w:rsid w:val="00E315A9"/>
    <w:rsid w:val="00E317DE"/>
    <w:rsid w:val="00E3187E"/>
    <w:rsid w:val="00E3188A"/>
    <w:rsid w:val="00E318B7"/>
    <w:rsid w:val="00E3246D"/>
    <w:rsid w:val="00E32A18"/>
    <w:rsid w:val="00E32EB9"/>
    <w:rsid w:val="00E330A6"/>
    <w:rsid w:val="00E332B9"/>
    <w:rsid w:val="00E335D2"/>
    <w:rsid w:val="00E33746"/>
    <w:rsid w:val="00E337E7"/>
    <w:rsid w:val="00E33CF0"/>
    <w:rsid w:val="00E34250"/>
    <w:rsid w:val="00E34AFB"/>
    <w:rsid w:val="00E34C96"/>
    <w:rsid w:val="00E34CFB"/>
    <w:rsid w:val="00E351B8"/>
    <w:rsid w:val="00E35233"/>
    <w:rsid w:val="00E3536F"/>
    <w:rsid w:val="00E3557C"/>
    <w:rsid w:val="00E358DC"/>
    <w:rsid w:val="00E359FD"/>
    <w:rsid w:val="00E35C49"/>
    <w:rsid w:val="00E35C61"/>
    <w:rsid w:val="00E35F50"/>
    <w:rsid w:val="00E3608E"/>
    <w:rsid w:val="00E360EF"/>
    <w:rsid w:val="00E368BD"/>
    <w:rsid w:val="00E36A79"/>
    <w:rsid w:val="00E36CC4"/>
    <w:rsid w:val="00E37081"/>
    <w:rsid w:val="00E3729C"/>
    <w:rsid w:val="00E37CCC"/>
    <w:rsid w:val="00E37D66"/>
    <w:rsid w:val="00E40573"/>
    <w:rsid w:val="00E406B6"/>
    <w:rsid w:val="00E4078B"/>
    <w:rsid w:val="00E408E5"/>
    <w:rsid w:val="00E40D84"/>
    <w:rsid w:val="00E40F35"/>
    <w:rsid w:val="00E414CD"/>
    <w:rsid w:val="00E41B62"/>
    <w:rsid w:val="00E42195"/>
    <w:rsid w:val="00E4263F"/>
    <w:rsid w:val="00E42A63"/>
    <w:rsid w:val="00E42F84"/>
    <w:rsid w:val="00E437CA"/>
    <w:rsid w:val="00E43A06"/>
    <w:rsid w:val="00E44296"/>
    <w:rsid w:val="00E44879"/>
    <w:rsid w:val="00E44A12"/>
    <w:rsid w:val="00E44C16"/>
    <w:rsid w:val="00E451A7"/>
    <w:rsid w:val="00E4533C"/>
    <w:rsid w:val="00E45617"/>
    <w:rsid w:val="00E458BB"/>
    <w:rsid w:val="00E45D04"/>
    <w:rsid w:val="00E45DBC"/>
    <w:rsid w:val="00E4637E"/>
    <w:rsid w:val="00E463BE"/>
    <w:rsid w:val="00E46413"/>
    <w:rsid w:val="00E46F32"/>
    <w:rsid w:val="00E472B1"/>
    <w:rsid w:val="00E473A5"/>
    <w:rsid w:val="00E4745E"/>
    <w:rsid w:val="00E476C5"/>
    <w:rsid w:val="00E47BFB"/>
    <w:rsid w:val="00E47F01"/>
    <w:rsid w:val="00E50338"/>
    <w:rsid w:val="00E50715"/>
    <w:rsid w:val="00E50A96"/>
    <w:rsid w:val="00E50F1D"/>
    <w:rsid w:val="00E5121C"/>
    <w:rsid w:val="00E513EC"/>
    <w:rsid w:val="00E51907"/>
    <w:rsid w:val="00E52217"/>
    <w:rsid w:val="00E52459"/>
    <w:rsid w:val="00E52651"/>
    <w:rsid w:val="00E53160"/>
    <w:rsid w:val="00E533F4"/>
    <w:rsid w:val="00E536D1"/>
    <w:rsid w:val="00E53706"/>
    <w:rsid w:val="00E537E0"/>
    <w:rsid w:val="00E537E8"/>
    <w:rsid w:val="00E53D2E"/>
    <w:rsid w:val="00E542DB"/>
    <w:rsid w:val="00E544D2"/>
    <w:rsid w:val="00E550B3"/>
    <w:rsid w:val="00E555E6"/>
    <w:rsid w:val="00E5570E"/>
    <w:rsid w:val="00E557A3"/>
    <w:rsid w:val="00E56032"/>
    <w:rsid w:val="00E563C8"/>
    <w:rsid w:val="00E5687B"/>
    <w:rsid w:val="00E56E9D"/>
    <w:rsid w:val="00E57354"/>
    <w:rsid w:val="00E5770F"/>
    <w:rsid w:val="00E578F9"/>
    <w:rsid w:val="00E579DE"/>
    <w:rsid w:val="00E57C97"/>
    <w:rsid w:val="00E57F06"/>
    <w:rsid w:val="00E57F09"/>
    <w:rsid w:val="00E57FEE"/>
    <w:rsid w:val="00E602C9"/>
    <w:rsid w:val="00E603C5"/>
    <w:rsid w:val="00E604FB"/>
    <w:rsid w:val="00E605A6"/>
    <w:rsid w:val="00E60843"/>
    <w:rsid w:val="00E61539"/>
    <w:rsid w:val="00E61D0E"/>
    <w:rsid w:val="00E622F8"/>
    <w:rsid w:val="00E62584"/>
    <w:rsid w:val="00E62628"/>
    <w:rsid w:val="00E6265C"/>
    <w:rsid w:val="00E6290B"/>
    <w:rsid w:val="00E62D75"/>
    <w:rsid w:val="00E63048"/>
    <w:rsid w:val="00E63848"/>
    <w:rsid w:val="00E63E3E"/>
    <w:rsid w:val="00E63F71"/>
    <w:rsid w:val="00E640C9"/>
    <w:rsid w:val="00E64655"/>
    <w:rsid w:val="00E646BA"/>
    <w:rsid w:val="00E64A84"/>
    <w:rsid w:val="00E64F79"/>
    <w:rsid w:val="00E654FE"/>
    <w:rsid w:val="00E656B8"/>
    <w:rsid w:val="00E657A9"/>
    <w:rsid w:val="00E65A1D"/>
    <w:rsid w:val="00E664A6"/>
    <w:rsid w:val="00E6691A"/>
    <w:rsid w:val="00E67169"/>
    <w:rsid w:val="00E67322"/>
    <w:rsid w:val="00E67488"/>
    <w:rsid w:val="00E67528"/>
    <w:rsid w:val="00E67733"/>
    <w:rsid w:val="00E67A9B"/>
    <w:rsid w:val="00E67B1B"/>
    <w:rsid w:val="00E706A1"/>
    <w:rsid w:val="00E70BAA"/>
    <w:rsid w:val="00E70BAB"/>
    <w:rsid w:val="00E70DD9"/>
    <w:rsid w:val="00E70FDB"/>
    <w:rsid w:val="00E71088"/>
    <w:rsid w:val="00E71137"/>
    <w:rsid w:val="00E7124A"/>
    <w:rsid w:val="00E712AD"/>
    <w:rsid w:val="00E71773"/>
    <w:rsid w:val="00E717C8"/>
    <w:rsid w:val="00E724A8"/>
    <w:rsid w:val="00E724B8"/>
    <w:rsid w:val="00E727A7"/>
    <w:rsid w:val="00E72D2A"/>
    <w:rsid w:val="00E72D72"/>
    <w:rsid w:val="00E734E2"/>
    <w:rsid w:val="00E7377F"/>
    <w:rsid w:val="00E73B0B"/>
    <w:rsid w:val="00E73D35"/>
    <w:rsid w:val="00E73F98"/>
    <w:rsid w:val="00E74274"/>
    <w:rsid w:val="00E74585"/>
    <w:rsid w:val="00E74A0A"/>
    <w:rsid w:val="00E74E7C"/>
    <w:rsid w:val="00E74EC9"/>
    <w:rsid w:val="00E75369"/>
    <w:rsid w:val="00E754D8"/>
    <w:rsid w:val="00E755D1"/>
    <w:rsid w:val="00E75939"/>
    <w:rsid w:val="00E75A78"/>
    <w:rsid w:val="00E7636C"/>
    <w:rsid w:val="00E767AE"/>
    <w:rsid w:val="00E7687A"/>
    <w:rsid w:val="00E76E9C"/>
    <w:rsid w:val="00E77004"/>
    <w:rsid w:val="00E7765B"/>
    <w:rsid w:val="00E77684"/>
    <w:rsid w:val="00E778C5"/>
    <w:rsid w:val="00E77C41"/>
    <w:rsid w:val="00E77CFF"/>
    <w:rsid w:val="00E77D2A"/>
    <w:rsid w:val="00E8018C"/>
    <w:rsid w:val="00E80217"/>
    <w:rsid w:val="00E806F2"/>
    <w:rsid w:val="00E8080F"/>
    <w:rsid w:val="00E80841"/>
    <w:rsid w:val="00E80A79"/>
    <w:rsid w:val="00E80CCA"/>
    <w:rsid w:val="00E811F9"/>
    <w:rsid w:val="00E812AE"/>
    <w:rsid w:val="00E81786"/>
    <w:rsid w:val="00E817E8"/>
    <w:rsid w:val="00E81859"/>
    <w:rsid w:val="00E81903"/>
    <w:rsid w:val="00E82082"/>
    <w:rsid w:val="00E8211D"/>
    <w:rsid w:val="00E82C98"/>
    <w:rsid w:val="00E82CB3"/>
    <w:rsid w:val="00E8323C"/>
    <w:rsid w:val="00E83525"/>
    <w:rsid w:val="00E83C26"/>
    <w:rsid w:val="00E83D28"/>
    <w:rsid w:val="00E84101"/>
    <w:rsid w:val="00E8435C"/>
    <w:rsid w:val="00E84558"/>
    <w:rsid w:val="00E84872"/>
    <w:rsid w:val="00E84964"/>
    <w:rsid w:val="00E84C3B"/>
    <w:rsid w:val="00E84CB6"/>
    <w:rsid w:val="00E850AB"/>
    <w:rsid w:val="00E85240"/>
    <w:rsid w:val="00E85362"/>
    <w:rsid w:val="00E85585"/>
    <w:rsid w:val="00E85B15"/>
    <w:rsid w:val="00E85B24"/>
    <w:rsid w:val="00E85C7E"/>
    <w:rsid w:val="00E85D59"/>
    <w:rsid w:val="00E85EB8"/>
    <w:rsid w:val="00E860AE"/>
    <w:rsid w:val="00E866DC"/>
    <w:rsid w:val="00E8676C"/>
    <w:rsid w:val="00E867F6"/>
    <w:rsid w:val="00E86998"/>
    <w:rsid w:val="00E86B44"/>
    <w:rsid w:val="00E86CAA"/>
    <w:rsid w:val="00E86F4C"/>
    <w:rsid w:val="00E87062"/>
    <w:rsid w:val="00E87159"/>
    <w:rsid w:val="00E8728C"/>
    <w:rsid w:val="00E87499"/>
    <w:rsid w:val="00E87616"/>
    <w:rsid w:val="00E87960"/>
    <w:rsid w:val="00E87962"/>
    <w:rsid w:val="00E87C14"/>
    <w:rsid w:val="00E87C8A"/>
    <w:rsid w:val="00E87DEC"/>
    <w:rsid w:val="00E87E8A"/>
    <w:rsid w:val="00E9013E"/>
    <w:rsid w:val="00E90203"/>
    <w:rsid w:val="00E90536"/>
    <w:rsid w:val="00E90759"/>
    <w:rsid w:val="00E9085C"/>
    <w:rsid w:val="00E90A53"/>
    <w:rsid w:val="00E90A6C"/>
    <w:rsid w:val="00E90DF8"/>
    <w:rsid w:val="00E91110"/>
    <w:rsid w:val="00E912C2"/>
    <w:rsid w:val="00E917FC"/>
    <w:rsid w:val="00E9193A"/>
    <w:rsid w:val="00E91A0E"/>
    <w:rsid w:val="00E91AA9"/>
    <w:rsid w:val="00E9200C"/>
    <w:rsid w:val="00E92587"/>
    <w:rsid w:val="00E925F0"/>
    <w:rsid w:val="00E92959"/>
    <w:rsid w:val="00E92E00"/>
    <w:rsid w:val="00E9352F"/>
    <w:rsid w:val="00E94597"/>
    <w:rsid w:val="00E949A0"/>
    <w:rsid w:val="00E94EB4"/>
    <w:rsid w:val="00E95486"/>
    <w:rsid w:val="00E95BAB"/>
    <w:rsid w:val="00E96075"/>
    <w:rsid w:val="00E96499"/>
    <w:rsid w:val="00E966EB"/>
    <w:rsid w:val="00E969EC"/>
    <w:rsid w:val="00E96BA2"/>
    <w:rsid w:val="00E9718E"/>
    <w:rsid w:val="00E9735A"/>
    <w:rsid w:val="00E97804"/>
    <w:rsid w:val="00E97A62"/>
    <w:rsid w:val="00E97AB1"/>
    <w:rsid w:val="00E97B3E"/>
    <w:rsid w:val="00EA03BD"/>
    <w:rsid w:val="00EA06BF"/>
    <w:rsid w:val="00EA06CF"/>
    <w:rsid w:val="00EA0709"/>
    <w:rsid w:val="00EA0D89"/>
    <w:rsid w:val="00EA0E35"/>
    <w:rsid w:val="00EA0F11"/>
    <w:rsid w:val="00EA1041"/>
    <w:rsid w:val="00EA17BF"/>
    <w:rsid w:val="00EA1860"/>
    <w:rsid w:val="00EA1BC9"/>
    <w:rsid w:val="00EA1F3B"/>
    <w:rsid w:val="00EA1FC4"/>
    <w:rsid w:val="00EA206E"/>
    <w:rsid w:val="00EA29C7"/>
    <w:rsid w:val="00EA3531"/>
    <w:rsid w:val="00EA3668"/>
    <w:rsid w:val="00EA37C7"/>
    <w:rsid w:val="00EA3894"/>
    <w:rsid w:val="00EA3939"/>
    <w:rsid w:val="00EA3AF3"/>
    <w:rsid w:val="00EA3E6D"/>
    <w:rsid w:val="00EA41B1"/>
    <w:rsid w:val="00EA442D"/>
    <w:rsid w:val="00EA4A5A"/>
    <w:rsid w:val="00EA4A8D"/>
    <w:rsid w:val="00EA4FF4"/>
    <w:rsid w:val="00EA5392"/>
    <w:rsid w:val="00EA5872"/>
    <w:rsid w:val="00EA5938"/>
    <w:rsid w:val="00EA5C87"/>
    <w:rsid w:val="00EA5ED3"/>
    <w:rsid w:val="00EA5F3C"/>
    <w:rsid w:val="00EA5FDC"/>
    <w:rsid w:val="00EA6700"/>
    <w:rsid w:val="00EA6E04"/>
    <w:rsid w:val="00EA7050"/>
    <w:rsid w:val="00EA7346"/>
    <w:rsid w:val="00EA7380"/>
    <w:rsid w:val="00EA7715"/>
    <w:rsid w:val="00EA7982"/>
    <w:rsid w:val="00EB0006"/>
    <w:rsid w:val="00EB02F8"/>
    <w:rsid w:val="00EB033B"/>
    <w:rsid w:val="00EB057C"/>
    <w:rsid w:val="00EB05E4"/>
    <w:rsid w:val="00EB05FB"/>
    <w:rsid w:val="00EB06E2"/>
    <w:rsid w:val="00EB0E01"/>
    <w:rsid w:val="00EB0FB9"/>
    <w:rsid w:val="00EB1409"/>
    <w:rsid w:val="00EB1C78"/>
    <w:rsid w:val="00EB1D5F"/>
    <w:rsid w:val="00EB1D73"/>
    <w:rsid w:val="00EB2093"/>
    <w:rsid w:val="00EB21AB"/>
    <w:rsid w:val="00EB252D"/>
    <w:rsid w:val="00EB27E6"/>
    <w:rsid w:val="00EB29EA"/>
    <w:rsid w:val="00EB30D0"/>
    <w:rsid w:val="00EB3194"/>
    <w:rsid w:val="00EB33AE"/>
    <w:rsid w:val="00EB347C"/>
    <w:rsid w:val="00EB354B"/>
    <w:rsid w:val="00EB35CB"/>
    <w:rsid w:val="00EB362A"/>
    <w:rsid w:val="00EB3ABD"/>
    <w:rsid w:val="00EB3B64"/>
    <w:rsid w:val="00EB3F03"/>
    <w:rsid w:val="00EB3FF4"/>
    <w:rsid w:val="00EB4054"/>
    <w:rsid w:val="00EB422D"/>
    <w:rsid w:val="00EB444E"/>
    <w:rsid w:val="00EB4491"/>
    <w:rsid w:val="00EB48C5"/>
    <w:rsid w:val="00EB497A"/>
    <w:rsid w:val="00EB4C93"/>
    <w:rsid w:val="00EB5004"/>
    <w:rsid w:val="00EB5338"/>
    <w:rsid w:val="00EB53A6"/>
    <w:rsid w:val="00EB568F"/>
    <w:rsid w:val="00EB5D42"/>
    <w:rsid w:val="00EB5FF8"/>
    <w:rsid w:val="00EB625A"/>
    <w:rsid w:val="00EB62DF"/>
    <w:rsid w:val="00EB63D8"/>
    <w:rsid w:val="00EB6625"/>
    <w:rsid w:val="00EB71BA"/>
    <w:rsid w:val="00EB7395"/>
    <w:rsid w:val="00EB763A"/>
    <w:rsid w:val="00EB7851"/>
    <w:rsid w:val="00EB78F3"/>
    <w:rsid w:val="00EC00A9"/>
    <w:rsid w:val="00EC0270"/>
    <w:rsid w:val="00EC0802"/>
    <w:rsid w:val="00EC09E8"/>
    <w:rsid w:val="00EC0ACA"/>
    <w:rsid w:val="00EC0AE2"/>
    <w:rsid w:val="00EC0DFD"/>
    <w:rsid w:val="00EC1018"/>
    <w:rsid w:val="00EC1236"/>
    <w:rsid w:val="00EC15FB"/>
    <w:rsid w:val="00EC1A09"/>
    <w:rsid w:val="00EC1E0A"/>
    <w:rsid w:val="00EC22B2"/>
    <w:rsid w:val="00EC2601"/>
    <w:rsid w:val="00EC2838"/>
    <w:rsid w:val="00EC28E3"/>
    <w:rsid w:val="00EC2A6A"/>
    <w:rsid w:val="00EC2E39"/>
    <w:rsid w:val="00EC320A"/>
    <w:rsid w:val="00EC32A7"/>
    <w:rsid w:val="00EC347E"/>
    <w:rsid w:val="00EC3737"/>
    <w:rsid w:val="00EC465E"/>
    <w:rsid w:val="00EC47B4"/>
    <w:rsid w:val="00EC4C2E"/>
    <w:rsid w:val="00EC4D5B"/>
    <w:rsid w:val="00EC500A"/>
    <w:rsid w:val="00EC523A"/>
    <w:rsid w:val="00EC56C4"/>
    <w:rsid w:val="00EC5852"/>
    <w:rsid w:val="00EC6190"/>
    <w:rsid w:val="00EC63ED"/>
    <w:rsid w:val="00EC64A0"/>
    <w:rsid w:val="00EC65F2"/>
    <w:rsid w:val="00EC660C"/>
    <w:rsid w:val="00EC66C1"/>
    <w:rsid w:val="00EC6716"/>
    <w:rsid w:val="00EC680E"/>
    <w:rsid w:val="00EC68DF"/>
    <w:rsid w:val="00EC6C42"/>
    <w:rsid w:val="00EC759D"/>
    <w:rsid w:val="00ED01DA"/>
    <w:rsid w:val="00ED0625"/>
    <w:rsid w:val="00ED0815"/>
    <w:rsid w:val="00ED0847"/>
    <w:rsid w:val="00ED0DCF"/>
    <w:rsid w:val="00ED1091"/>
    <w:rsid w:val="00ED14ED"/>
    <w:rsid w:val="00ED15E1"/>
    <w:rsid w:val="00ED17DB"/>
    <w:rsid w:val="00ED1D60"/>
    <w:rsid w:val="00ED2069"/>
    <w:rsid w:val="00ED2180"/>
    <w:rsid w:val="00ED240D"/>
    <w:rsid w:val="00ED25CD"/>
    <w:rsid w:val="00ED2774"/>
    <w:rsid w:val="00ED2A6E"/>
    <w:rsid w:val="00ED2D5C"/>
    <w:rsid w:val="00ED2E33"/>
    <w:rsid w:val="00ED316C"/>
    <w:rsid w:val="00ED3211"/>
    <w:rsid w:val="00ED34DB"/>
    <w:rsid w:val="00ED3500"/>
    <w:rsid w:val="00ED3FBF"/>
    <w:rsid w:val="00ED437C"/>
    <w:rsid w:val="00ED449A"/>
    <w:rsid w:val="00ED44EB"/>
    <w:rsid w:val="00ED44F8"/>
    <w:rsid w:val="00ED4D79"/>
    <w:rsid w:val="00ED4E66"/>
    <w:rsid w:val="00ED571C"/>
    <w:rsid w:val="00ED5E57"/>
    <w:rsid w:val="00ED6213"/>
    <w:rsid w:val="00ED654B"/>
    <w:rsid w:val="00ED69C5"/>
    <w:rsid w:val="00ED6C56"/>
    <w:rsid w:val="00ED7330"/>
    <w:rsid w:val="00ED7C74"/>
    <w:rsid w:val="00ED7C97"/>
    <w:rsid w:val="00EE0A33"/>
    <w:rsid w:val="00EE0D83"/>
    <w:rsid w:val="00EE1397"/>
    <w:rsid w:val="00EE171B"/>
    <w:rsid w:val="00EE1903"/>
    <w:rsid w:val="00EE1BA5"/>
    <w:rsid w:val="00EE1D8B"/>
    <w:rsid w:val="00EE2247"/>
    <w:rsid w:val="00EE29D7"/>
    <w:rsid w:val="00EE2A89"/>
    <w:rsid w:val="00EE2D88"/>
    <w:rsid w:val="00EE35CE"/>
    <w:rsid w:val="00EE36A5"/>
    <w:rsid w:val="00EE3AC6"/>
    <w:rsid w:val="00EE411D"/>
    <w:rsid w:val="00EE4471"/>
    <w:rsid w:val="00EE4871"/>
    <w:rsid w:val="00EE495D"/>
    <w:rsid w:val="00EE4A1A"/>
    <w:rsid w:val="00EE4B99"/>
    <w:rsid w:val="00EE541F"/>
    <w:rsid w:val="00EE5600"/>
    <w:rsid w:val="00EE5B19"/>
    <w:rsid w:val="00EE5CB3"/>
    <w:rsid w:val="00EE5D1C"/>
    <w:rsid w:val="00EE5DA2"/>
    <w:rsid w:val="00EE603A"/>
    <w:rsid w:val="00EE614E"/>
    <w:rsid w:val="00EE6831"/>
    <w:rsid w:val="00EE6EA5"/>
    <w:rsid w:val="00EE7017"/>
    <w:rsid w:val="00EE7200"/>
    <w:rsid w:val="00EE7346"/>
    <w:rsid w:val="00EE75E2"/>
    <w:rsid w:val="00EF02D9"/>
    <w:rsid w:val="00EF08F1"/>
    <w:rsid w:val="00EF0D73"/>
    <w:rsid w:val="00EF0D8D"/>
    <w:rsid w:val="00EF115F"/>
    <w:rsid w:val="00EF13E8"/>
    <w:rsid w:val="00EF15A4"/>
    <w:rsid w:val="00EF1AC9"/>
    <w:rsid w:val="00EF1DCC"/>
    <w:rsid w:val="00EF1E31"/>
    <w:rsid w:val="00EF1E7E"/>
    <w:rsid w:val="00EF2161"/>
    <w:rsid w:val="00EF2253"/>
    <w:rsid w:val="00EF284D"/>
    <w:rsid w:val="00EF2860"/>
    <w:rsid w:val="00EF2949"/>
    <w:rsid w:val="00EF29A3"/>
    <w:rsid w:val="00EF2A8B"/>
    <w:rsid w:val="00EF2AAE"/>
    <w:rsid w:val="00EF2C5D"/>
    <w:rsid w:val="00EF3105"/>
    <w:rsid w:val="00EF3236"/>
    <w:rsid w:val="00EF3749"/>
    <w:rsid w:val="00EF37AD"/>
    <w:rsid w:val="00EF3824"/>
    <w:rsid w:val="00EF3C26"/>
    <w:rsid w:val="00EF3D3E"/>
    <w:rsid w:val="00EF3DAE"/>
    <w:rsid w:val="00EF40CE"/>
    <w:rsid w:val="00EF417B"/>
    <w:rsid w:val="00EF4259"/>
    <w:rsid w:val="00EF42B3"/>
    <w:rsid w:val="00EF42E5"/>
    <w:rsid w:val="00EF49EA"/>
    <w:rsid w:val="00EF4B81"/>
    <w:rsid w:val="00EF4C3F"/>
    <w:rsid w:val="00EF4E48"/>
    <w:rsid w:val="00EF5654"/>
    <w:rsid w:val="00EF5A18"/>
    <w:rsid w:val="00EF5EAD"/>
    <w:rsid w:val="00EF5F60"/>
    <w:rsid w:val="00EF61B8"/>
    <w:rsid w:val="00EF6309"/>
    <w:rsid w:val="00EF6569"/>
    <w:rsid w:val="00EF6A6D"/>
    <w:rsid w:val="00EF6CEA"/>
    <w:rsid w:val="00EF6E31"/>
    <w:rsid w:val="00EF7070"/>
    <w:rsid w:val="00EF721D"/>
    <w:rsid w:val="00EF72C7"/>
    <w:rsid w:val="00EF75DE"/>
    <w:rsid w:val="00EF79F1"/>
    <w:rsid w:val="00EF7C05"/>
    <w:rsid w:val="00EF7DC4"/>
    <w:rsid w:val="00F001AE"/>
    <w:rsid w:val="00F0022E"/>
    <w:rsid w:val="00F00C5D"/>
    <w:rsid w:val="00F00D22"/>
    <w:rsid w:val="00F01084"/>
    <w:rsid w:val="00F01315"/>
    <w:rsid w:val="00F01453"/>
    <w:rsid w:val="00F019AE"/>
    <w:rsid w:val="00F01B1D"/>
    <w:rsid w:val="00F01D31"/>
    <w:rsid w:val="00F01DDB"/>
    <w:rsid w:val="00F01E1D"/>
    <w:rsid w:val="00F0249D"/>
    <w:rsid w:val="00F02B46"/>
    <w:rsid w:val="00F02D14"/>
    <w:rsid w:val="00F030C7"/>
    <w:rsid w:val="00F0314B"/>
    <w:rsid w:val="00F034D1"/>
    <w:rsid w:val="00F035BB"/>
    <w:rsid w:val="00F04758"/>
    <w:rsid w:val="00F050FB"/>
    <w:rsid w:val="00F05115"/>
    <w:rsid w:val="00F051E1"/>
    <w:rsid w:val="00F054E4"/>
    <w:rsid w:val="00F05624"/>
    <w:rsid w:val="00F058D5"/>
    <w:rsid w:val="00F0597A"/>
    <w:rsid w:val="00F059DE"/>
    <w:rsid w:val="00F05B7D"/>
    <w:rsid w:val="00F0602D"/>
    <w:rsid w:val="00F06236"/>
    <w:rsid w:val="00F0627C"/>
    <w:rsid w:val="00F065BD"/>
    <w:rsid w:val="00F065E7"/>
    <w:rsid w:val="00F066DA"/>
    <w:rsid w:val="00F066FC"/>
    <w:rsid w:val="00F06787"/>
    <w:rsid w:val="00F06B4D"/>
    <w:rsid w:val="00F06F43"/>
    <w:rsid w:val="00F06F9C"/>
    <w:rsid w:val="00F072D6"/>
    <w:rsid w:val="00F07813"/>
    <w:rsid w:val="00F079A1"/>
    <w:rsid w:val="00F07B73"/>
    <w:rsid w:val="00F07FA0"/>
    <w:rsid w:val="00F10711"/>
    <w:rsid w:val="00F10BD3"/>
    <w:rsid w:val="00F10DE1"/>
    <w:rsid w:val="00F10F7D"/>
    <w:rsid w:val="00F11301"/>
    <w:rsid w:val="00F11376"/>
    <w:rsid w:val="00F11DB6"/>
    <w:rsid w:val="00F12321"/>
    <w:rsid w:val="00F12BDF"/>
    <w:rsid w:val="00F12DC4"/>
    <w:rsid w:val="00F12E40"/>
    <w:rsid w:val="00F12E6D"/>
    <w:rsid w:val="00F12F77"/>
    <w:rsid w:val="00F13104"/>
    <w:rsid w:val="00F132B9"/>
    <w:rsid w:val="00F13517"/>
    <w:rsid w:val="00F13B8C"/>
    <w:rsid w:val="00F13E0F"/>
    <w:rsid w:val="00F141E1"/>
    <w:rsid w:val="00F1442E"/>
    <w:rsid w:val="00F14459"/>
    <w:rsid w:val="00F1453F"/>
    <w:rsid w:val="00F14881"/>
    <w:rsid w:val="00F14FE4"/>
    <w:rsid w:val="00F1502C"/>
    <w:rsid w:val="00F152B8"/>
    <w:rsid w:val="00F15685"/>
    <w:rsid w:val="00F15776"/>
    <w:rsid w:val="00F159E4"/>
    <w:rsid w:val="00F15EE4"/>
    <w:rsid w:val="00F15EEE"/>
    <w:rsid w:val="00F15F50"/>
    <w:rsid w:val="00F161A3"/>
    <w:rsid w:val="00F166B4"/>
    <w:rsid w:val="00F16A98"/>
    <w:rsid w:val="00F16F10"/>
    <w:rsid w:val="00F16FAB"/>
    <w:rsid w:val="00F17347"/>
    <w:rsid w:val="00F17353"/>
    <w:rsid w:val="00F17759"/>
    <w:rsid w:val="00F17CC6"/>
    <w:rsid w:val="00F20311"/>
    <w:rsid w:val="00F20436"/>
    <w:rsid w:val="00F20A36"/>
    <w:rsid w:val="00F20C33"/>
    <w:rsid w:val="00F20D87"/>
    <w:rsid w:val="00F2128C"/>
    <w:rsid w:val="00F216E0"/>
    <w:rsid w:val="00F219FE"/>
    <w:rsid w:val="00F21D80"/>
    <w:rsid w:val="00F221E5"/>
    <w:rsid w:val="00F2262D"/>
    <w:rsid w:val="00F22DF1"/>
    <w:rsid w:val="00F22F2C"/>
    <w:rsid w:val="00F22FD9"/>
    <w:rsid w:val="00F232DA"/>
    <w:rsid w:val="00F234CF"/>
    <w:rsid w:val="00F23D76"/>
    <w:rsid w:val="00F24156"/>
    <w:rsid w:val="00F243D7"/>
    <w:rsid w:val="00F244AA"/>
    <w:rsid w:val="00F24DD3"/>
    <w:rsid w:val="00F25171"/>
    <w:rsid w:val="00F2526F"/>
    <w:rsid w:val="00F25BD6"/>
    <w:rsid w:val="00F26080"/>
    <w:rsid w:val="00F2619F"/>
    <w:rsid w:val="00F26408"/>
    <w:rsid w:val="00F26591"/>
    <w:rsid w:val="00F265D6"/>
    <w:rsid w:val="00F26A02"/>
    <w:rsid w:val="00F26A17"/>
    <w:rsid w:val="00F26A3D"/>
    <w:rsid w:val="00F26C02"/>
    <w:rsid w:val="00F26D22"/>
    <w:rsid w:val="00F27446"/>
    <w:rsid w:val="00F27740"/>
    <w:rsid w:val="00F303BB"/>
    <w:rsid w:val="00F30464"/>
    <w:rsid w:val="00F30813"/>
    <w:rsid w:val="00F3086B"/>
    <w:rsid w:val="00F30DB8"/>
    <w:rsid w:val="00F316B4"/>
    <w:rsid w:val="00F316C8"/>
    <w:rsid w:val="00F3198A"/>
    <w:rsid w:val="00F31CD8"/>
    <w:rsid w:val="00F31DB9"/>
    <w:rsid w:val="00F31DC4"/>
    <w:rsid w:val="00F31F4A"/>
    <w:rsid w:val="00F320DD"/>
    <w:rsid w:val="00F322AC"/>
    <w:rsid w:val="00F323E7"/>
    <w:rsid w:val="00F3247A"/>
    <w:rsid w:val="00F32840"/>
    <w:rsid w:val="00F32897"/>
    <w:rsid w:val="00F32D68"/>
    <w:rsid w:val="00F33066"/>
    <w:rsid w:val="00F330CA"/>
    <w:rsid w:val="00F3369A"/>
    <w:rsid w:val="00F33A21"/>
    <w:rsid w:val="00F33CEB"/>
    <w:rsid w:val="00F33F5B"/>
    <w:rsid w:val="00F34C96"/>
    <w:rsid w:val="00F34CDC"/>
    <w:rsid w:val="00F35007"/>
    <w:rsid w:val="00F3511D"/>
    <w:rsid w:val="00F35182"/>
    <w:rsid w:val="00F35414"/>
    <w:rsid w:val="00F3576C"/>
    <w:rsid w:val="00F35865"/>
    <w:rsid w:val="00F35C53"/>
    <w:rsid w:val="00F35C58"/>
    <w:rsid w:val="00F35E6B"/>
    <w:rsid w:val="00F36023"/>
    <w:rsid w:val="00F36989"/>
    <w:rsid w:val="00F37007"/>
    <w:rsid w:val="00F3743B"/>
    <w:rsid w:val="00F375EC"/>
    <w:rsid w:val="00F3763B"/>
    <w:rsid w:val="00F379F0"/>
    <w:rsid w:val="00F37AE5"/>
    <w:rsid w:val="00F37B3F"/>
    <w:rsid w:val="00F37D17"/>
    <w:rsid w:val="00F401F9"/>
    <w:rsid w:val="00F40E3B"/>
    <w:rsid w:val="00F40E5F"/>
    <w:rsid w:val="00F4109D"/>
    <w:rsid w:val="00F4114C"/>
    <w:rsid w:val="00F41A71"/>
    <w:rsid w:val="00F41AD6"/>
    <w:rsid w:val="00F42644"/>
    <w:rsid w:val="00F4272E"/>
    <w:rsid w:val="00F42751"/>
    <w:rsid w:val="00F42D7E"/>
    <w:rsid w:val="00F430C6"/>
    <w:rsid w:val="00F4311B"/>
    <w:rsid w:val="00F433EE"/>
    <w:rsid w:val="00F433FA"/>
    <w:rsid w:val="00F437D4"/>
    <w:rsid w:val="00F43973"/>
    <w:rsid w:val="00F439A8"/>
    <w:rsid w:val="00F43BC0"/>
    <w:rsid w:val="00F43F69"/>
    <w:rsid w:val="00F43F9F"/>
    <w:rsid w:val="00F4437D"/>
    <w:rsid w:val="00F445B5"/>
    <w:rsid w:val="00F446E4"/>
    <w:rsid w:val="00F44896"/>
    <w:rsid w:val="00F448D0"/>
    <w:rsid w:val="00F44FCF"/>
    <w:rsid w:val="00F45706"/>
    <w:rsid w:val="00F4614A"/>
    <w:rsid w:val="00F46250"/>
    <w:rsid w:val="00F4633C"/>
    <w:rsid w:val="00F46A4D"/>
    <w:rsid w:val="00F46C7A"/>
    <w:rsid w:val="00F46F3A"/>
    <w:rsid w:val="00F4711D"/>
    <w:rsid w:val="00F4715C"/>
    <w:rsid w:val="00F473B4"/>
    <w:rsid w:val="00F477FB"/>
    <w:rsid w:val="00F478D2"/>
    <w:rsid w:val="00F478E6"/>
    <w:rsid w:val="00F47B5D"/>
    <w:rsid w:val="00F47BBE"/>
    <w:rsid w:val="00F47D73"/>
    <w:rsid w:val="00F507B5"/>
    <w:rsid w:val="00F508BC"/>
    <w:rsid w:val="00F50EE2"/>
    <w:rsid w:val="00F513A5"/>
    <w:rsid w:val="00F518BC"/>
    <w:rsid w:val="00F519FC"/>
    <w:rsid w:val="00F51B0F"/>
    <w:rsid w:val="00F51B51"/>
    <w:rsid w:val="00F51C59"/>
    <w:rsid w:val="00F51F40"/>
    <w:rsid w:val="00F51FB2"/>
    <w:rsid w:val="00F5252B"/>
    <w:rsid w:val="00F52616"/>
    <w:rsid w:val="00F526DE"/>
    <w:rsid w:val="00F52BC9"/>
    <w:rsid w:val="00F52C44"/>
    <w:rsid w:val="00F533C7"/>
    <w:rsid w:val="00F5350D"/>
    <w:rsid w:val="00F53891"/>
    <w:rsid w:val="00F53A48"/>
    <w:rsid w:val="00F53F81"/>
    <w:rsid w:val="00F5406D"/>
    <w:rsid w:val="00F5438A"/>
    <w:rsid w:val="00F54645"/>
    <w:rsid w:val="00F54CE0"/>
    <w:rsid w:val="00F54F4C"/>
    <w:rsid w:val="00F55524"/>
    <w:rsid w:val="00F55B1E"/>
    <w:rsid w:val="00F55B37"/>
    <w:rsid w:val="00F55DAD"/>
    <w:rsid w:val="00F564A9"/>
    <w:rsid w:val="00F56801"/>
    <w:rsid w:val="00F57606"/>
    <w:rsid w:val="00F576AC"/>
    <w:rsid w:val="00F57EB3"/>
    <w:rsid w:val="00F57EB6"/>
    <w:rsid w:val="00F6054F"/>
    <w:rsid w:val="00F60607"/>
    <w:rsid w:val="00F608BD"/>
    <w:rsid w:val="00F60A92"/>
    <w:rsid w:val="00F60BB2"/>
    <w:rsid w:val="00F60FF5"/>
    <w:rsid w:val="00F61152"/>
    <w:rsid w:val="00F612D2"/>
    <w:rsid w:val="00F613DA"/>
    <w:rsid w:val="00F6149F"/>
    <w:rsid w:val="00F617B3"/>
    <w:rsid w:val="00F61837"/>
    <w:rsid w:val="00F61901"/>
    <w:rsid w:val="00F61FF4"/>
    <w:rsid w:val="00F6246A"/>
    <w:rsid w:val="00F626C8"/>
    <w:rsid w:val="00F62B88"/>
    <w:rsid w:val="00F6346D"/>
    <w:rsid w:val="00F6365B"/>
    <w:rsid w:val="00F637C7"/>
    <w:rsid w:val="00F639DC"/>
    <w:rsid w:val="00F63CEA"/>
    <w:rsid w:val="00F64135"/>
    <w:rsid w:val="00F64192"/>
    <w:rsid w:val="00F648AE"/>
    <w:rsid w:val="00F64A74"/>
    <w:rsid w:val="00F64F77"/>
    <w:rsid w:val="00F65631"/>
    <w:rsid w:val="00F65738"/>
    <w:rsid w:val="00F65792"/>
    <w:rsid w:val="00F65E8B"/>
    <w:rsid w:val="00F661C0"/>
    <w:rsid w:val="00F661C9"/>
    <w:rsid w:val="00F66273"/>
    <w:rsid w:val="00F664F4"/>
    <w:rsid w:val="00F668AD"/>
    <w:rsid w:val="00F66927"/>
    <w:rsid w:val="00F66A59"/>
    <w:rsid w:val="00F66C8F"/>
    <w:rsid w:val="00F66CD4"/>
    <w:rsid w:val="00F67159"/>
    <w:rsid w:val="00F67458"/>
    <w:rsid w:val="00F6755D"/>
    <w:rsid w:val="00F678CF"/>
    <w:rsid w:val="00F67CA5"/>
    <w:rsid w:val="00F70131"/>
    <w:rsid w:val="00F70A62"/>
    <w:rsid w:val="00F70A93"/>
    <w:rsid w:val="00F70BB3"/>
    <w:rsid w:val="00F70C8C"/>
    <w:rsid w:val="00F70D62"/>
    <w:rsid w:val="00F70DA9"/>
    <w:rsid w:val="00F711B2"/>
    <w:rsid w:val="00F7130C"/>
    <w:rsid w:val="00F714C5"/>
    <w:rsid w:val="00F71823"/>
    <w:rsid w:val="00F71F29"/>
    <w:rsid w:val="00F723E5"/>
    <w:rsid w:val="00F7258F"/>
    <w:rsid w:val="00F7284B"/>
    <w:rsid w:val="00F729BF"/>
    <w:rsid w:val="00F72EF8"/>
    <w:rsid w:val="00F7334F"/>
    <w:rsid w:val="00F739AA"/>
    <w:rsid w:val="00F73A1E"/>
    <w:rsid w:val="00F73BC3"/>
    <w:rsid w:val="00F73FC7"/>
    <w:rsid w:val="00F74191"/>
    <w:rsid w:val="00F741BA"/>
    <w:rsid w:val="00F741F2"/>
    <w:rsid w:val="00F74318"/>
    <w:rsid w:val="00F748BD"/>
    <w:rsid w:val="00F74966"/>
    <w:rsid w:val="00F7541D"/>
    <w:rsid w:val="00F75A4C"/>
    <w:rsid w:val="00F75B10"/>
    <w:rsid w:val="00F7640E"/>
    <w:rsid w:val="00F776DB"/>
    <w:rsid w:val="00F778D5"/>
    <w:rsid w:val="00F77928"/>
    <w:rsid w:val="00F77A8C"/>
    <w:rsid w:val="00F77E7B"/>
    <w:rsid w:val="00F8024A"/>
    <w:rsid w:val="00F803E8"/>
    <w:rsid w:val="00F80834"/>
    <w:rsid w:val="00F8161F"/>
    <w:rsid w:val="00F81A0D"/>
    <w:rsid w:val="00F822CC"/>
    <w:rsid w:val="00F8244F"/>
    <w:rsid w:val="00F82538"/>
    <w:rsid w:val="00F82B0E"/>
    <w:rsid w:val="00F82C1D"/>
    <w:rsid w:val="00F82C74"/>
    <w:rsid w:val="00F82FBC"/>
    <w:rsid w:val="00F8379D"/>
    <w:rsid w:val="00F8379E"/>
    <w:rsid w:val="00F83F65"/>
    <w:rsid w:val="00F84016"/>
    <w:rsid w:val="00F84340"/>
    <w:rsid w:val="00F8455B"/>
    <w:rsid w:val="00F845EC"/>
    <w:rsid w:val="00F85160"/>
    <w:rsid w:val="00F85355"/>
    <w:rsid w:val="00F85799"/>
    <w:rsid w:val="00F858BF"/>
    <w:rsid w:val="00F861C0"/>
    <w:rsid w:val="00F861F2"/>
    <w:rsid w:val="00F8631F"/>
    <w:rsid w:val="00F86F16"/>
    <w:rsid w:val="00F8711E"/>
    <w:rsid w:val="00F8799D"/>
    <w:rsid w:val="00F87A0E"/>
    <w:rsid w:val="00F87BC3"/>
    <w:rsid w:val="00F903D0"/>
    <w:rsid w:val="00F905B5"/>
    <w:rsid w:val="00F9062A"/>
    <w:rsid w:val="00F90B43"/>
    <w:rsid w:val="00F90D1D"/>
    <w:rsid w:val="00F90FBE"/>
    <w:rsid w:val="00F913D6"/>
    <w:rsid w:val="00F9161E"/>
    <w:rsid w:val="00F92557"/>
    <w:rsid w:val="00F92E56"/>
    <w:rsid w:val="00F92E6A"/>
    <w:rsid w:val="00F931B4"/>
    <w:rsid w:val="00F93AC1"/>
    <w:rsid w:val="00F9494D"/>
    <w:rsid w:val="00F9509E"/>
    <w:rsid w:val="00F951B1"/>
    <w:rsid w:val="00F9585C"/>
    <w:rsid w:val="00F95F24"/>
    <w:rsid w:val="00F9620E"/>
    <w:rsid w:val="00F9624F"/>
    <w:rsid w:val="00F962C4"/>
    <w:rsid w:val="00F964D4"/>
    <w:rsid w:val="00F96AEE"/>
    <w:rsid w:val="00F96E43"/>
    <w:rsid w:val="00F974DD"/>
    <w:rsid w:val="00F97999"/>
    <w:rsid w:val="00F97B35"/>
    <w:rsid w:val="00FA05CA"/>
    <w:rsid w:val="00FA0663"/>
    <w:rsid w:val="00FA0792"/>
    <w:rsid w:val="00FA087C"/>
    <w:rsid w:val="00FA09FB"/>
    <w:rsid w:val="00FA0DCC"/>
    <w:rsid w:val="00FA13D3"/>
    <w:rsid w:val="00FA14EF"/>
    <w:rsid w:val="00FA17D7"/>
    <w:rsid w:val="00FA1B73"/>
    <w:rsid w:val="00FA1E0E"/>
    <w:rsid w:val="00FA2111"/>
    <w:rsid w:val="00FA2B39"/>
    <w:rsid w:val="00FA32A2"/>
    <w:rsid w:val="00FA3555"/>
    <w:rsid w:val="00FA3686"/>
    <w:rsid w:val="00FA3EE4"/>
    <w:rsid w:val="00FA3EF7"/>
    <w:rsid w:val="00FA4280"/>
    <w:rsid w:val="00FA42C0"/>
    <w:rsid w:val="00FA43E4"/>
    <w:rsid w:val="00FA4B81"/>
    <w:rsid w:val="00FA555A"/>
    <w:rsid w:val="00FA56C7"/>
    <w:rsid w:val="00FA5B36"/>
    <w:rsid w:val="00FA5B6A"/>
    <w:rsid w:val="00FA6130"/>
    <w:rsid w:val="00FA6182"/>
    <w:rsid w:val="00FA6511"/>
    <w:rsid w:val="00FA6565"/>
    <w:rsid w:val="00FA74E4"/>
    <w:rsid w:val="00FA776D"/>
    <w:rsid w:val="00FA7CCA"/>
    <w:rsid w:val="00FA7DEF"/>
    <w:rsid w:val="00FB09F1"/>
    <w:rsid w:val="00FB0A1A"/>
    <w:rsid w:val="00FB0B24"/>
    <w:rsid w:val="00FB0FDF"/>
    <w:rsid w:val="00FB14AA"/>
    <w:rsid w:val="00FB19B4"/>
    <w:rsid w:val="00FB19D0"/>
    <w:rsid w:val="00FB1A75"/>
    <w:rsid w:val="00FB1D39"/>
    <w:rsid w:val="00FB23F3"/>
    <w:rsid w:val="00FB2894"/>
    <w:rsid w:val="00FB2C9F"/>
    <w:rsid w:val="00FB3C7F"/>
    <w:rsid w:val="00FB3CF7"/>
    <w:rsid w:val="00FB3E1F"/>
    <w:rsid w:val="00FB40C0"/>
    <w:rsid w:val="00FB411F"/>
    <w:rsid w:val="00FB4585"/>
    <w:rsid w:val="00FB45F2"/>
    <w:rsid w:val="00FB45FF"/>
    <w:rsid w:val="00FB4BC7"/>
    <w:rsid w:val="00FB4BEF"/>
    <w:rsid w:val="00FB4E0F"/>
    <w:rsid w:val="00FB4F08"/>
    <w:rsid w:val="00FB5087"/>
    <w:rsid w:val="00FB5523"/>
    <w:rsid w:val="00FB563B"/>
    <w:rsid w:val="00FB5950"/>
    <w:rsid w:val="00FB5980"/>
    <w:rsid w:val="00FB5A7B"/>
    <w:rsid w:val="00FB5BF2"/>
    <w:rsid w:val="00FB632E"/>
    <w:rsid w:val="00FB6812"/>
    <w:rsid w:val="00FB6849"/>
    <w:rsid w:val="00FB70EB"/>
    <w:rsid w:val="00FB710E"/>
    <w:rsid w:val="00FB72B2"/>
    <w:rsid w:val="00FC01FF"/>
    <w:rsid w:val="00FC0463"/>
    <w:rsid w:val="00FC07F4"/>
    <w:rsid w:val="00FC07F7"/>
    <w:rsid w:val="00FC0D5F"/>
    <w:rsid w:val="00FC0D8B"/>
    <w:rsid w:val="00FC0E87"/>
    <w:rsid w:val="00FC10B8"/>
    <w:rsid w:val="00FC11B7"/>
    <w:rsid w:val="00FC1A21"/>
    <w:rsid w:val="00FC1BAB"/>
    <w:rsid w:val="00FC1C5F"/>
    <w:rsid w:val="00FC2578"/>
    <w:rsid w:val="00FC2610"/>
    <w:rsid w:val="00FC26EA"/>
    <w:rsid w:val="00FC279F"/>
    <w:rsid w:val="00FC2A3E"/>
    <w:rsid w:val="00FC2FB9"/>
    <w:rsid w:val="00FC2FF5"/>
    <w:rsid w:val="00FC32C2"/>
    <w:rsid w:val="00FC372A"/>
    <w:rsid w:val="00FC373E"/>
    <w:rsid w:val="00FC3816"/>
    <w:rsid w:val="00FC3BC4"/>
    <w:rsid w:val="00FC4044"/>
    <w:rsid w:val="00FC423E"/>
    <w:rsid w:val="00FC42DB"/>
    <w:rsid w:val="00FC4609"/>
    <w:rsid w:val="00FC48EA"/>
    <w:rsid w:val="00FC48F6"/>
    <w:rsid w:val="00FC4C1B"/>
    <w:rsid w:val="00FC4EEC"/>
    <w:rsid w:val="00FC4F73"/>
    <w:rsid w:val="00FC4F9F"/>
    <w:rsid w:val="00FC5213"/>
    <w:rsid w:val="00FC529A"/>
    <w:rsid w:val="00FC57EF"/>
    <w:rsid w:val="00FC58E4"/>
    <w:rsid w:val="00FC60D1"/>
    <w:rsid w:val="00FC6209"/>
    <w:rsid w:val="00FC66EE"/>
    <w:rsid w:val="00FC69C1"/>
    <w:rsid w:val="00FC6A5A"/>
    <w:rsid w:val="00FC6CA4"/>
    <w:rsid w:val="00FC6E71"/>
    <w:rsid w:val="00FC6F32"/>
    <w:rsid w:val="00FC72C7"/>
    <w:rsid w:val="00FC741C"/>
    <w:rsid w:val="00FC7A12"/>
    <w:rsid w:val="00FC7A27"/>
    <w:rsid w:val="00FC7A37"/>
    <w:rsid w:val="00FD03F9"/>
    <w:rsid w:val="00FD04F0"/>
    <w:rsid w:val="00FD0CA5"/>
    <w:rsid w:val="00FD17E2"/>
    <w:rsid w:val="00FD182D"/>
    <w:rsid w:val="00FD1B07"/>
    <w:rsid w:val="00FD1C54"/>
    <w:rsid w:val="00FD2651"/>
    <w:rsid w:val="00FD2BD4"/>
    <w:rsid w:val="00FD2FA8"/>
    <w:rsid w:val="00FD349B"/>
    <w:rsid w:val="00FD364D"/>
    <w:rsid w:val="00FD3BA5"/>
    <w:rsid w:val="00FD3CD5"/>
    <w:rsid w:val="00FD3CEE"/>
    <w:rsid w:val="00FD3CF6"/>
    <w:rsid w:val="00FD3E32"/>
    <w:rsid w:val="00FD3F1E"/>
    <w:rsid w:val="00FD4019"/>
    <w:rsid w:val="00FD4275"/>
    <w:rsid w:val="00FD43DE"/>
    <w:rsid w:val="00FD4706"/>
    <w:rsid w:val="00FD4B84"/>
    <w:rsid w:val="00FD4EA5"/>
    <w:rsid w:val="00FD5467"/>
    <w:rsid w:val="00FD5AE7"/>
    <w:rsid w:val="00FD5BFE"/>
    <w:rsid w:val="00FD5DE8"/>
    <w:rsid w:val="00FD62BA"/>
    <w:rsid w:val="00FD64F7"/>
    <w:rsid w:val="00FD6790"/>
    <w:rsid w:val="00FD6F93"/>
    <w:rsid w:val="00FD737B"/>
    <w:rsid w:val="00FD7794"/>
    <w:rsid w:val="00FD7937"/>
    <w:rsid w:val="00FD79F4"/>
    <w:rsid w:val="00FD79F6"/>
    <w:rsid w:val="00FD7B3F"/>
    <w:rsid w:val="00FD7FBF"/>
    <w:rsid w:val="00FE034A"/>
    <w:rsid w:val="00FE03BD"/>
    <w:rsid w:val="00FE0AAB"/>
    <w:rsid w:val="00FE0BE1"/>
    <w:rsid w:val="00FE0BE3"/>
    <w:rsid w:val="00FE0C9E"/>
    <w:rsid w:val="00FE0CAB"/>
    <w:rsid w:val="00FE0CF5"/>
    <w:rsid w:val="00FE0DE3"/>
    <w:rsid w:val="00FE10D5"/>
    <w:rsid w:val="00FE15CC"/>
    <w:rsid w:val="00FE1846"/>
    <w:rsid w:val="00FE1855"/>
    <w:rsid w:val="00FE1D73"/>
    <w:rsid w:val="00FE1D95"/>
    <w:rsid w:val="00FE1EA1"/>
    <w:rsid w:val="00FE22A9"/>
    <w:rsid w:val="00FE2515"/>
    <w:rsid w:val="00FE2A8E"/>
    <w:rsid w:val="00FE2CBC"/>
    <w:rsid w:val="00FE2D05"/>
    <w:rsid w:val="00FE3109"/>
    <w:rsid w:val="00FE385B"/>
    <w:rsid w:val="00FE38DD"/>
    <w:rsid w:val="00FE4225"/>
    <w:rsid w:val="00FE4283"/>
    <w:rsid w:val="00FE4A01"/>
    <w:rsid w:val="00FE4C0E"/>
    <w:rsid w:val="00FE512C"/>
    <w:rsid w:val="00FE53B6"/>
    <w:rsid w:val="00FE5489"/>
    <w:rsid w:val="00FE555F"/>
    <w:rsid w:val="00FE55C0"/>
    <w:rsid w:val="00FE5B6D"/>
    <w:rsid w:val="00FE5EB0"/>
    <w:rsid w:val="00FE62EA"/>
    <w:rsid w:val="00FE6537"/>
    <w:rsid w:val="00FE659D"/>
    <w:rsid w:val="00FE66EE"/>
    <w:rsid w:val="00FE6714"/>
    <w:rsid w:val="00FE6E16"/>
    <w:rsid w:val="00FE70DD"/>
    <w:rsid w:val="00FE72A9"/>
    <w:rsid w:val="00FE7352"/>
    <w:rsid w:val="00FE7550"/>
    <w:rsid w:val="00FE7A59"/>
    <w:rsid w:val="00FE7B12"/>
    <w:rsid w:val="00FE7D68"/>
    <w:rsid w:val="00FF01D2"/>
    <w:rsid w:val="00FF0658"/>
    <w:rsid w:val="00FF083B"/>
    <w:rsid w:val="00FF0A7C"/>
    <w:rsid w:val="00FF1154"/>
    <w:rsid w:val="00FF1270"/>
    <w:rsid w:val="00FF172A"/>
    <w:rsid w:val="00FF25D7"/>
    <w:rsid w:val="00FF26BA"/>
    <w:rsid w:val="00FF275E"/>
    <w:rsid w:val="00FF2846"/>
    <w:rsid w:val="00FF286D"/>
    <w:rsid w:val="00FF2A9C"/>
    <w:rsid w:val="00FF305D"/>
    <w:rsid w:val="00FF3246"/>
    <w:rsid w:val="00FF37BD"/>
    <w:rsid w:val="00FF4457"/>
    <w:rsid w:val="00FF453C"/>
    <w:rsid w:val="00FF47FB"/>
    <w:rsid w:val="00FF490B"/>
    <w:rsid w:val="00FF4ADE"/>
    <w:rsid w:val="00FF4AE0"/>
    <w:rsid w:val="00FF4D12"/>
    <w:rsid w:val="00FF52C5"/>
    <w:rsid w:val="00FF5771"/>
    <w:rsid w:val="00FF598E"/>
    <w:rsid w:val="00FF5D43"/>
    <w:rsid w:val="00FF5D8F"/>
    <w:rsid w:val="00FF664E"/>
    <w:rsid w:val="00FF66A3"/>
    <w:rsid w:val="00FF6A20"/>
    <w:rsid w:val="00FF6D58"/>
    <w:rsid w:val="00FF7120"/>
    <w:rsid w:val="00FF72B8"/>
    <w:rsid w:val="00FF7494"/>
    <w:rsid w:val="00FF78FC"/>
    <w:rsid w:val="010009C4"/>
    <w:rsid w:val="01031EA7"/>
    <w:rsid w:val="01032A89"/>
    <w:rsid w:val="010F5E3C"/>
    <w:rsid w:val="01100347"/>
    <w:rsid w:val="01110BE0"/>
    <w:rsid w:val="01120C0E"/>
    <w:rsid w:val="01181D5F"/>
    <w:rsid w:val="01215A1B"/>
    <w:rsid w:val="01226A27"/>
    <w:rsid w:val="012621B1"/>
    <w:rsid w:val="01275A84"/>
    <w:rsid w:val="012F1520"/>
    <w:rsid w:val="013834D8"/>
    <w:rsid w:val="01404759"/>
    <w:rsid w:val="01425692"/>
    <w:rsid w:val="014538E3"/>
    <w:rsid w:val="014925F4"/>
    <w:rsid w:val="014C3D09"/>
    <w:rsid w:val="0151177E"/>
    <w:rsid w:val="01576AA6"/>
    <w:rsid w:val="015C3B59"/>
    <w:rsid w:val="015C568F"/>
    <w:rsid w:val="015F6064"/>
    <w:rsid w:val="01627245"/>
    <w:rsid w:val="0171781D"/>
    <w:rsid w:val="01720129"/>
    <w:rsid w:val="017313AC"/>
    <w:rsid w:val="017B323D"/>
    <w:rsid w:val="017D57AE"/>
    <w:rsid w:val="01820C20"/>
    <w:rsid w:val="01823008"/>
    <w:rsid w:val="01843AD0"/>
    <w:rsid w:val="01881F4C"/>
    <w:rsid w:val="018A7039"/>
    <w:rsid w:val="018E422E"/>
    <w:rsid w:val="0191059C"/>
    <w:rsid w:val="0192132A"/>
    <w:rsid w:val="01981676"/>
    <w:rsid w:val="019A214A"/>
    <w:rsid w:val="01A1050F"/>
    <w:rsid w:val="01A16B04"/>
    <w:rsid w:val="01A43B5C"/>
    <w:rsid w:val="01A9635E"/>
    <w:rsid w:val="01AF097B"/>
    <w:rsid w:val="01B5521E"/>
    <w:rsid w:val="01BA5F39"/>
    <w:rsid w:val="01C326DA"/>
    <w:rsid w:val="01C74659"/>
    <w:rsid w:val="01C77782"/>
    <w:rsid w:val="01C804DA"/>
    <w:rsid w:val="01CA4A9A"/>
    <w:rsid w:val="01CB5A2A"/>
    <w:rsid w:val="01CD6175"/>
    <w:rsid w:val="01CF6472"/>
    <w:rsid w:val="01D7237F"/>
    <w:rsid w:val="01E129CD"/>
    <w:rsid w:val="01E8213B"/>
    <w:rsid w:val="01E90EAA"/>
    <w:rsid w:val="01E9562A"/>
    <w:rsid w:val="01F0730D"/>
    <w:rsid w:val="01F37778"/>
    <w:rsid w:val="01FC6829"/>
    <w:rsid w:val="02052204"/>
    <w:rsid w:val="0208048B"/>
    <w:rsid w:val="02157A90"/>
    <w:rsid w:val="0218641B"/>
    <w:rsid w:val="021C1EB9"/>
    <w:rsid w:val="023425A0"/>
    <w:rsid w:val="02354B61"/>
    <w:rsid w:val="023A307F"/>
    <w:rsid w:val="023D68E9"/>
    <w:rsid w:val="024D11F3"/>
    <w:rsid w:val="025415E7"/>
    <w:rsid w:val="02580C67"/>
    <w:rsid w:val="025B6E07"/>
    <w:rsid w:val="025F4948"/>
    <w:rsid w:val="02622CBC"/>
    <w:rsid w:val="026E3515"/>
    <w:rsid w:val="027A1CC7"/>
    <w:rsid w:val="02821AE1"/>
    <w:rsid w:val="0282269B"/>
    <w:rsid w:val="02837FA5"/>
    <w:rsid w:val="028438E6"/>
    <w:rsid w:val="028F7F84"/>
    <w:rsid w:val="02914E21"/>
    <w:rsid w:val="029415F5"/>
    <w:rsid w:val="02A078F6"/>
    <w:rsid w:val="02A1375E"/>
    <w:rsid w:val="02A738FD"/>
    <w:rsid w:val="02A802F1"/>
    <w:rsid w:val="02AC3B9C"/>
    <w:rsid w:val="02BC1004"/>
    <w:rsid w:val="02BD375E"/>
    <w:rsid w:val="02C20A5F"/>
    <w:rsid w:val="02CE27E0"/>
    <w:rsid w:val="02CF0E60"/>
    <w:rsid w:val="02D8254A"/>
    <w:rsid w:val="02DD65A1"/>
    <w:rsid w:val="02EE4537"/>
    <w:rsid w:val="02F5047D"/>
    <w:rsid w:val="02F6090E"/>
    <w:rsid w:val="03054834"/>
    <w:rsid w:val="030C5E59"/>
    <w:rsid w:val="031041CB"/>
    <w:rsid w:val="03127134"/>
    <w:rsid w:val="03131BEB"/>
    <w:rsid w:val="03180265"/>
    <w:rsid w:val="031923E9"/>
    <w:rsid w:val="031C7EF1"/>
    <w:rsid w:val="03244425"/>
    <w:rsid w:val="03251439"/>
    <w:rsid w:val="03277ED8"/>
    <w:rsid w:val="032D5502"/>
    <w:rsid w:val="03303151"/>
    <w:rsid w:val="03335414"/>
    <w:rsid w:val="03380EE2"/>
    <w:rsid w:val="03474A61"/>
    <w:rsid w:val="034800C3"/>
    <w:rsid w:val="034B2AB8"/>
    <w:rsid w:val="03504A2A"/>
    <w:rsid w:val="0354194A"/>
    <w:rsid w:val="036A1460"/>
    <w:rsid w:val="03763069"/>
    <w:rsid w:val="037D0817"/>
    <w:rsid w:val="037E4B7C"/>
    <w:rsid w:val="03876C33"/>
    <w:rsid w:val="03900455"/>
    <w:rsid w:val="03901647"/>
    <w:rsid w:val="039C4271"/>
    <w:rsid w:val="03A0019E"/>
    <w:rsid w:val="03A247CE"/>
    <w:rsid w:val="03A80B76"/>
    <w:rsid w:val="03AC7855"/>
    <w:rsid w:val="03B005F4"/>
    <w:rsid w:val="03B76952"/>
    <w:rsid w:val="03C84BA0"/>
    <w:rsid w:val="03CF2B82"/>
    <w:rsid w:val="03D519BF"/>
    <w:rsid w:val="03E0522E"/>
    <w:rsid w:val="03E376F7"/>
    <w:rsid w:val="03F32D2F"/>
    <w:rsid w:val="03F65997"/>
    <w:rsid w:val="03F719F0"/>
    <w:rsid w:val="04066AB8"/>
    <w:rsid w:val="040F1FD0"/>
    <w:rsid w:val="04107EF4"/>
    <w:rsid w:val="041162ED"/>
    <w:rsid w:val="041562A8"/>
    <w:rsid w:val="041A2D84"/>
    <w:rsid w:val="041A6AB4"/>
    <w:rsid w:val="041C18EE"/>
    <w:rsid w:val="041D3FE2"/>
    <w:rsid w:val="041E4121"/>
    <w:rsid w:val="04210D8C"/>
    <w:rsid w:val="043010F4"/>
    <w:rsid w:val="04364A60"/>
    <w:rsid w:val="043815C4"/>
    <w:rsid w:val="043821BF"/>
    <w:rsid w:val="043B501A"/>
    <w:rsid w:val="043F4A79"/>
    <w:rsid w:val="044C44B7"/>
    <w:rsid w:val="045436C8"/>
    <w:rsid w:val="045857E3"/>
    <w:rsid w:val="04586E3A"/>
    <w:rsid w:val="045D7B5C"/>
    <w:rsid w:val="04646655"/>
    <w:rsid w:val="046861DC"/>
    <w:rsid w:val="04721F47"/>
    <w:rsid w:val="04735957"/>
    <w:rsid w:val="04750C72"/>
    <w:rsid w:val="04826009"/>
    <w:rsid w:val="04826901"/>
    <w:rsid w:val="048869A8"/>
    <w:rsid w:val="048F68A9"/>
    <w:rsid w:val="04931ED8"/>
    <w:rsid w:val="04992F02"/>
    <w:rsid w:val="049C5462"/>
    <w:rsid w:val="04A32F52"/>
    <w:rsid w:val="04A4498C"/>
    <w:rsid w:val="04B14C72"/>
    <w:rsid w:val="04C06E5C"/>
    <w:rsid w:val="04C726D6"/>
    <w:rsid w:val="04D12DFB"/>
    <w:rsid w:val="04E12B8C"/>
    <w:rsid w:val="04EB52D7"/>
    <w:rsid w:val="04EE2F89"/>
    <w:rsid w:val="04EF4836"/>
    <w:rsid w:val="04F035BC"/>
    <w:rsid w:val="04F06D1D"/>
    <w:rsid w:val="04F10E3F"/>
    <w:rsid w:val="04F70897"/>
    <w:rsid w:val="050113F8"/>
    <w:rsid w:val="050B53DB"/>
    <w:rsid w:val="05153665"/>
    <w:rsid w:val="05231E10"/>
    <w:rsid w:val="05245A1B"/>
    <w:rsid w:val="052D6178"/>
    <w:rsid w:val="052E2D53"/>
    <w:rsid w:val="05371581"/>
    <w:rsid w:val="05382A12"/>
    <w:rsid w:val="053A645E"/>
    <w:rsid w:val="054F6E4C"/>
    <w:rsid w:val="0550176D"/>
    <w:rsid w:val="055A0EFA"/>
    <w:rsid w:val="055A269C"/>
    <w:rsid w:val="055D4DF4"/>
    <w:rsid w:val="056C08F8"/>
    <w:rsid w:val="05721CA8"/>
    <w:rsid w:val="05772118"/>
    <w:rsid w:val="05781F83"/>
    <w:rsid w:val="05840358"/>
    <w:rsid w:val="05841830"/>
    <w:rsid w:val="05876734"/>
    <w:rsid w:val="058843A5"/>
    <w:rsid w:val="058A78EE"/>
    <w:rsid w:val="05980A73"/>
    <w:rsid w:val="059D34CA"/>
    <w:rsid w:val="05A010CF"/>
    <w:rsid w:val="05A75DFA"/>
    <w:rsid w:val="05B03585"/>
    <w:rsid w:val="05B92FBE"/>
    <w:rsid w:val="05BC14EA"/>
    <w:rsid w:val="05C84CCE"/>
    <w:rsid w:val="05CC71C9"/>
    <w:rsid w:val="05D05EF1"/>
    <w:rsid w:val="05D94EBE"/>
    <w:rsid w:val="05DE4683"/>
    <w:rsid w:val="05DF3F1B"/>
    <w:rsid w:val="05E95F0A"/>
    <w:rsid w:val="05EA4CBD"/>
    <w:rsid w:val="05EA4E24"/>
    <w:rsid w:val="05EC06E7"/>
    <w:rsid w:val="05ED35B8"/>
    <w:rsid w:val="05F074A4"/>
    <w:rsid w:val="05F12585"/>
    <w:rsid w:val="05F32D0A"/>
    <w:rsid w:val="05FB2CD3"/>
    <w:rsid w:val="06022F61"/>
    <w:rsid w:val="060D5AA5"/>
    <w:rsid w:val="061A06CE"/>
    <w:rsid w:val="06261750"/>
    <w:rsid w:val="06276042"/>
    <w:rsid w:val="0632277C"/>
    <w:rsid w:val="06340A05"/>
    <w:rsid w:val="063B1FB2"/>
    <w:rsid w:val="063B5BA6"/>
    <w:rsid w:val="063D7168"/>
    <w:rsid w:val="06485014"/>
    <w:rsid w:val="06496A78"/>
    <w:rsid w:val="06570242"/>
    <w:rsid w:val="06690073"/>
    <w:rsid w:val="066F17E0"/>
    <w:rsid w:val="067A3DAD"/>
    <w:rsid w:val="0686332F"/>
    <w:rsid w:val="068A5598"/>
    <w:rsid w:val="06A065FB"/>
    <w:rsid w:val="06A36551"/>
    <w:rsid w:val="06A41E4B"/>
    <w:rsid w:val="06A43D59"/>
    <w:rsid w:val="06A54B41"/>
    <w:rsid w:val="06AB6297"/>
    <w:rsid w:val="06B5039E"/>
    <w:rsid w:val="06BD7A66"/>
    <w:rsid w:val="06C074EB"/>
    <w:rsid w:val="06C1240E"/>
    <w:rsid w:val="06C35FF8"/>
    <w:rsid w:val="06C46BF4"/>
    <w:rsid w:val="06C92187"/>
    <w:rsid w:val="06CB725E"/>
    <w:rsid w:val="06CF19A4"/>
    <w:rsid w:val="06D571A1"/>
    <w:rsid w:val="06E1290F"/>
    <w:rsid w:val="06E570D2"/>
    <w:rsid w:val="06EC4947"/>
    <w:rsid w:val="06EF0165"/>
    <w:rsid w:val="06F76AE6"/>
    <w:rsid w:val="07015EFA"/>
    <w:rsid w:val="0707006E"/>
    <w:rsid w:val="070B2CE3"/>
    <w:rsid w:val="07110BB0"/>
    <w:rsid w:val="07142B52"/>
    <w:rsid w:val="072922C5"/>
    <w:rsid w:val="072A65A9"/>
    <w:rsid w:val="072F6CF4"/>
    <w:rsid w:val="0734615D"/>
    <w:rsid w:val="0735734E"/>
    <w:rsid w:val="07377DDC"/>
    <w:rsid w:val="07386D83"/>
    <w:rsid w:val="073B19BC"/>
    <w:rsid w:val="07406A37"/>
    <w:rsid w:val="074A4044"/>
    <w:rsid w:val="074B35A5"/>
    <w:rsid w:val="075578B6"/>
    <w:rsid w:val="07611954"/>
    <w:rsid w:val="07815402"/>
    <w:rsid w:val="07826DCD"/>
    <w:rsid w:val="07871DCC"/>
    <w:rsid w:val="078B07F9"/>
    <w:rsid w:val="078E4F4B"/>
    <w:rsid w:val="07914E4D"/>
    <w:rsid w:val="07944B29"/>
    <w:rsid w:val="079F2902"/>
    <w:rsid w:val="079F3045"/>
    <w:rsid w:val="07AC7E7C"/>
    <w:rsid w:val="07AD1CC1"/>
    <w:rsid w:val="07B34910"/>
    <w:rsid w:val="07BB7897"/>
    <w:rsid w:val="07C76AEB"/>
    <w:rsid w:val="07CE47C1"/>
    <w:rsid w:val="07D43FFD"/>
    <w:rsid w:val="07D62B24"/>
    <w:rsid w:val="07D74C64"/>
    <w:rsid w:val="07D81AC3"/>
    <w:rsid w:val="07E03766"/>
    <w:rsid w:val="07EA26C1"/>
    <w:rsid w:val="07F42283"/>
    <w:rsid w:val="080C3D6F"/>
    <w:rsid w:val="080D084A"/>
    <w:rsid w:val="080F4BAC"/>
    <w:rsid w:val="081C4C2B"/>
    <w:rsid w:val="081C52B5"/>
    <w:rsid w:val="081F1F69"/>
    <w:rsid w:val="082F68E7"/>
    <w:rsid w:val="08337F1B"/>
    <w:rsid w:val="083B21D6"/>
    <w:rsid w:val="083B4265"/>
    <w:rsid w:val="084124A1"/>
    <w:rsid w:val="08425BAA"/>
    <w:rsid w:val="08465770"/>
    <w:rsid w:val="084745D0"/>
    <w:rsid w:val="08476D2A"/>
    <w:rsid w:val="084A42E3"/>
    <w:rsid w:val="084D185F"/>
    <w:rsid w:val="084E1A17"/>
    <w:rsid w:val="0859027E"/>
    <w:rsid w:val="0862758A"/>
    <w:rsid w:val="086A574E"/>
    <w:rsid w:val="086F37D0"/>
    <w:rsid w:val="08792428"/>
    <w:rsid w:val="087945D7"/>
    <w:rsid w:val="087E66D2"/>
    <w:rsid w:val="08807319"/>
    <w:rsid w:val="088804FE"/>
    <w:rsid w:val="088B574E"/>
    <w:rsid w:val="088E6842"/>
    <w:rsid w:val="0899645B"/>
    <w:rsid w:val="08AA4464"/>
    <w:rsid w:val="08B20EA3"/>
    <w:rsid w:val="08B574EC"/>
    <w:rsid w:val="08B57F92"/>
    <w:rsid w:val="08C110D0"/>
    <w:rsid w:val="08C447CA"/>
    <w:rsid w:val="08C76409"/>
    <w:rsid w:val="08C96165"/>
    <w:rsid w:val="08CA1B7B"/>
    <w:rsid w:val="08CE2E9E"/>
    <w:rsid w:val="08E279FE"/>
    <w:rsid w:val="08E539A8"/>
    <w:rsid w:val="08E64959"/>
    <w:rsid w:val="08F4741A"/>
    <w:rsid w:val="08FF3E43"/>
    <w:rsid w:val="090426FA"/>
    <w:rsid w:val="0905386B"/>
    <w:rsid w:val="090E084D"/>
    <w:rsid w:val="09120E77"/>
    <w:rsid w:val="09134CB1"/>
    <w:rsid w:val="09275714"/>
    <w:rsid w:val="092C5904"/>
    <w:rsid w:val="093120ED"/>
    <w:rsid w:val="09326371"/>
    <w:rsid w:val="09340639"/>
    <w:rsid w:val="094077F0"/>
    <w:rsid w:val="09451BB8"/>
    <w:rsid w:val="09552E33"/>
    <w:rsid w:val="09566CA4"/>
    <w:rsid w:val="095C0D34"/>
    <w:rsid w:val="096121E8"/>
    <w:rsid w:val="096A1358"/>
    <w:rsid w:val="09736BC3"/>
    <w:rsid w:val="0974287E"/>
    <w:rsid w:val="09832AAA"/>
    <w:rsid w:val="09876497"/>
    <w:rsid w:val="098B7640"/>
    <w:rsid w:val="098F1481"/>
    <w:rsid w:val="09904C1A"/>
    <w:rsid w:val="099122D3"/>
    <w:rsid w:val="099F5C87"/>
    <w:rsid w:val="09A918FF"/>
    <w:rsid w:val="09AA58DD"/>
    <w:rsid w:val="09AA61FD"/>
    <w:rsid w:val="09AF1AF7"/>
    <w:rsid w:val="09AF29E2"/>
    <w:rsid w:val="09B14672"/>
    <w:rsid w:val="09DF01A9"/>
    <w:rsid w:val="09DF4DE6"/>
    <w:rsid w:val="09F3224C"/>
    <w:rsid w:val="09F5356A"/>
    <w:rsid w:val="09F756A5"/>
    <w:rsid w:val="09FB5032"/>
    <w:rsid w:val="0A007FB9"/>
    <w:rsid w:val="0A0248E2"/>
    <w:rsid w:val="0A0B630A"/>
    <w:rsid w:val="0A0C27F2"/>
    <w:rsid w:val="0A0C4C71"/>
    <w:rsid w:val="0A197D7E"/>
    <w:rsid w:val="0A260017"/>
    <w:rsid w:val="0A2E3537"/>
    <w:rsid w:val="0A350A2E"/>
    <w:rsid w:val="0A44449B"/>
    <w:rsid w:val="0A4E6BBD"/>
    <w:rsid w:val="0A514E15"/>
    <w:rsid w:val="0A55649C"/>
    <w:rsid w:val="0A5827E1"/>
    <w:rsid w:val="0A5A07E6"/>
    <w:rsid w:val="0A5D5C23"/>
    <w:rsid w:val="0A613380"/>
    <w:rsid w:val="0A68565C"/>
    <w:rsid w:val="0A6F0D2E"/>
    <w:rsid w:val="0A7269CD"/>
    <w:rsid w:val="0A733A2F"/>
    <w:rsid w:val="0A750E8A"/>
    <w:rsid w:val="0A782A74"/>
    <w:rsid w:val="0A787C1C"/>
    <w:rsid w:val="0A7A6F15"/>
    <w:rsid w:val="0A7C07DD"/>
    <w:rsid w:val="0A7C4051"/>
    <w:rsid w:val="0A7D67BF"/>
    <w:rsid w:val="0A857420"/>
    <w:rsid w:val="0A860C80"/>
    <w:rsid w:val="0A8D2821"/>
    <w:rsid w:val="0A91761B"/>
    <w:rsid w:val="0A9E708F"/>
    <w:rsid w:val="0AA07CD9"/>
    <w:rsid w:val="0AA96F03"/>
    <w:rsid w:val="0AAC726A"/>
    <w:rsid w:val="0ABB44F9"/>
    <w:rsid w:val="0AC139E2"/>
    <w:rsid w:val="0AC65B07"/>
    <w:rsid w:val="0AC716D4"/>
    <w:rsid w:val="0AD10E3B"/>
    <w:rsid w:val="0AD43730"/>
    <w:rsid w:val="0ADB3DBF"/>
    <w:rsid w:val="0ADD2D69"/>
    <w:rsid w:val="0ADF132F"/>
    <w:rsid w:val="0AE21A7A"/>
    <w:rsid w:val="0AE75078"/>
    <w:rsid w:val="0AEA5FE2"/>
    <w:rsid w:val="0AF17DC0"/>
    <w:rsid w:val="0AF456BE"/>
    <w:rsid w:val="0AFF24CE"/>
    <w:rsid w:val="0B00481C"/>
    <w:rsid w:val="0B015DF4"/>
    <w:rsid w:val="0B0234A6"/>
    <w:rsid w:val="0B0A3F2D"/>
    <w:rsid w:val="0B1324A5"/>
    <w:rsid w:val="0B142A0F"/>
    <w:rsid w:val="0B1543BB"/>
    <w:rsid w:val="0B215E24"/>
    <w:rsid w:val="0B257548"/>
    <w:rsid w:val="0B2920B8"/>
    <w:rsid w:val="0B347A1C"/>
    <w:rsid w:val="0B3A4C8C"/>
    <w:rsid w:val="0B3A625C"/>
    <w:rsid w:val="0B420FE1"/>
    <w:rsid w:val="0B4C3E35"/>
    <w:rsid w:val="0B4C64FA"/>
    <w:rsid w:val="0B4E0560"/>
    <w:rsid w:val="0B5431C9"/>
    <w:rsid w:val="0B5C20A7"/>
    <w:rsid w:val="0B6426D9"/>
    <w:rsid w:val="0B66128E"/>
    <w:rsid w:val="0B6913F3"/>
    <w:rsid w:val="0B6B1DA7"/>
    <w:rsid w:val="0B6C3AAF"/>
    <w:rsid w:val="0B7955B8"/>
    <w:rsid w:val="0B7C2A1B"/>
    <w:rsid w:val="0B7C3C97"/>
    <w:rsid w:val="0B851AE2"/>
    <w:rsid w:val="0B87592F"/>
    <w:rsid w:val="0B8F2569"/>
    <w:rsid w:val="0B9615B3"/>
    <w:rsid w:val="0B995225"/>
    <w:rsid w:val="0B9A561D"/>
    <w:rsid w:val="0B9C43C8"/>
    <w:rsid w:val="0BA077C8"/>
    <w:rsid w:val="0BA61C03"/>
    <w:rsid w:val="0BA645E8"/>
    <w:rsid w:val="0BB51B35"/>
    <w:rsid w:val="0BB55819"/>
    <w:rsid w:val="0BBC3F2B"/>
    <w:rsid w:val="0BC43EFA"/>
    <w:rsid w:val="0BCC4524"/>
    <w:rsid w:val="0BDB773F"/>
    <w:rsid w:val="0BDC0F5C"/>
    <w:rsid w:val="0BE30D9D"/>
    <w:rsid w:val="0BE335C3"/>
    <w:rsid w:val="0BE54882"/>
    <w:rsid w:val="0BE64F43"/>
    <w:rsid w:val="0BE8762C"/>
    <w:rsid w:val="0BE9464C"/>
    <w:rsid w:val="0BF17147"/>
    <w:rsid w:val="0BF22E42"/>
    <w:rsid w:val="0BF61FC1"/>
    <w:rsid w:val="0BFB359E"/>
    <w:rsid w:val="0BFD10D3"/>
    <w:rsid w:val="0BFF6D04"/>
    <w:rsid w:val="0C0016BA"/>
    <w:rsid w:val="0C090EA4"/>
    <w:rsid w:val="0C0C05C8"/>
    <w:rsid w:val="0C0E3321"/>
    <w:rsid w:val="0C101FFD"/>
    <w:rsid w:val="0C141C14"/>
    <w:rsid w:val="0C1B6151"/>
    <w:rsid w:val="0C1C3753"/>
    <w:rsid w:val="0C22771D"/>
    <w:rsid w:val="0C2F7406"/>
    <w:rsid w:val="0C30263B"/>
    <w:rsid w:val="0C353F91"/>
    <w:rsid w:val="0C3A46A5"/>
    <w:rsid w:val="0C41439A"/>
    <w:rsid w:val="0C473253"/>
    <w:rsid w:val="0C4F022E"/>
    <w:rsid w:val="0C5170A3"/>
    <w:rsid w:val="0C630475"/>
    <w:rsid w:val="0C6C4623"/>
    <w:rsid w:val="0C6D1617"/>
    <w:rsid w:val="0C753611"/>
    <w:rsid w:val="0C771530"/>
    <w:rsid w:val="0C802212"/>
    <w:rsid w:val="0C8328A9"/>
    <w:rsid w:val="0C881C7E"/>
    <w:rsid w:val="0C8F5033"/>
    <w:rsid w:val="0C923DBE"/>
    <w:rsid w:val="0C92626A"/>
    <w:rsid w:val="0C992FB8"/>
    <w:rsid w:val="0CA06B2F"/>
    <w:rsid w:val="0CA5215C"/>
    <w:rsid w:val="0CAA56ED"/>
    <w:rsid w:val="0CAC621A"/>
    <w:rsid w:val="0CB1691B"/>
    <w:rsid w:val="0CB23D75"/>
    <w:rsid w:val="0CC316BA"/>
    <w:rsid w:val="0CCF6077"/>
    <w:rsid w:val="0CE01ED0"/>
    <w:rsid w:val="0CE057A4"/>
    <w:rsid w:val="0CE1356E"/>
    <w:rsid w:val="0CEA4514"/>
    <w:rsid w:val="0CED5790"/>
    <w:rsid w:val="0CF1557F"/>
    <w:rsid w:val="0CF26FDA"/>
    <w:rsid w:val="0CF83F51"/>
    <w:rsid w:val="0D02400E"/>
    <w:rsid w:val="0D0C6566"/>
    <w:rsid w:val="0D152AB7"/>
    <w:rsid w:val="0D1536F1"/>
    <w:rsid w:val="0D174E7F"/>
    <w:rsid w:val="0D1C29A3"/>
    <w:rsid w:val="0D1E5FB2"/>
    <w:rsid w:val="0D204BC7"/>
    <w:rsid w:val="0D232014"/>
    <w:rsid w:val="0D276A0D"/>
    <w:rsid w:val="0D2B3E5D"/>
    <w:rsid w:val="0D2C350B"/>
    <w:rsid w:val="0D2E2691"/>
    <w:rsid w:val="0D3066DF"/>
    <w:rsid w:val="0D323419"/>
    <w:rsid w:val="0D35666F"/>
    <w:rsid w:val="0D397B87"/>
    <w:rsid w:val="0D480593"/>
    <w:rsid w:val="0D4C56D2"/>
    <w:rsid w:val="0D6666A1"/>
    <w:rsid w:val="0D727EA8"/>
    <w:rsid w:val="0D733077"/>
    <w:rsid w:val="0D7423B9"/>
    <w:rsid w:val="0D751DEF"/>
    <w:rsid w:val="0D791D57"/>
    <w:rsid w:val="0D834A5C"/>
    <w:rsid w:val="0D893EB2"/>
    <w:rsid w:val="0D9C16DD"/>
    <w:rsid w:val="0D9C3921"/>
    <w:rsid w:val="0DA04132"/>
    <w:rsid w:val="0DA2356A"/>
    <w:rsid w:val="0DA363B0"/>
    <w:rsid w:val="0DB93391"/>
    <w:rsid w:val="0DBC1F5F"/>
    <w:rsid w:val="0DBF562F"/>
    <w:rsid w:val="0DC16AC3"/>
    <w:rsid w:val="0DC70173"/>
    <w:rsid w:val="0DC93404"/>
    <w:rsid w:val="0DCA02FE"/>
    <w:rsid w:val="0DD400A1"/>
    <w:rsid w:val="0DD520DE"/>
    <w:rsid w:val="0DD86688"/>
    <w:rsid w:val="0DDA114E"/>
    <w:rsid w:val="0DDC03D6"/>
    <w:rsid w:val="0DDE14D8"/>
    <w:rsid w:val="0DE53E77"/>
    <w:rsid w:val="0DE748A8"/>
    <w:rsid w:val="0DFA76E6"/>
    <w:rsid w:val="0DFC649B"/>
    <w:rsid w:val="0DFD1947"/>
    <w:rsid w:val="0E052000"/>
    <w:rsid w:val="0E054ADA"/>
    <w:rsid w:val="0E075E25"/>
    <w:rsid w:val="0E1A3091"/>
    <w:rsid w:val="0E1A5799"/>
    <w:rsid w:val="0E1A59BE"/>
    <w:rsid w:val="0E1B6184"/>
    <w:rsid w:val="0E1B77B3"/>
    <w:rsid w:val="0E1C0F16"/>
    <w:rsid w:val="0E2735BC"/>
    <w:rsid w:val="0E2E1E85"/>
    <w:rsid w:val="0E3640EF"/>
    <w:rsid w:val="0E3B77C9"/>
    <w:rsid w:val="0E4F1CE0"/>
    <w:rsid w:val="0E4F5252"/>
    <w:rsid w:val="0E572C3E"/>
    <w:rsid w:val="0E667147"/>
    <w:rsid w:val="0E69572A"/>
    <w:rsid w:val="0E7566C6"/>
    <w:rsid w:val="0E7D24CD"/>
    <w:rsid w:val="0E8271E6"/>
    <w:rsid w:val="0E887123"/>
    <w:rsid w:val="0E8B4D0B"/>
    <w:rsid w:val="0E8D312B"/>
    <w:rsid w:val="0E925C30"/>
    <w:rsid w:val="0EA621BE"/>
    <w:rsid w:val="0EA73A8F"/>
    <w:rsid w:val="0EAA3E40"/>
    <w:rsid w:val="0EAB594D"/>
    <w:rsid w:val="0EB60087"/>
    <w:rsid w:val="0EBD6AC8"/>
    <w:rsid w:val="0EC73340"/>
    <w:rsid w:val="0EC854C4"/>
    <w:rsid w:val="0ECC4D2D"/>
    <w:rsid w:val="0ED72DF9"/>
    <w:rsid w:val="0ED95C8A"/>
    <w:rsid w:val="0ED97A61"/>
    <w:rsid w:val="0EE30AF7"/>
    <w:rsid w:val="0EE54C4E"/>
    <w:rsid w:val="0EE85446"/>
    <w:rsid w:val="0EF80EE4"/>
    <w:rsid w:val="0EF87378"/>
    <w:rsid w:val="0EFA4040"/>
    <w:rsid w:val="0EFC0189"/>
    <w:rsid w:val="0EFF773D"/>
    <w:rsid w:val="0F0742F7"/>
    <w:rsid w:val="0F0D12D4"/>
    <w:rsid w:val="0F0F3003"/>
    <w:rsid w:val="0F1108EC"/>
    <w:rsid w:val="0F145DEA"/>
    <w:rsid w:val="0F226CC5"/>
    <w:rsid w:val="0F2277D2"/>
    <w:rsid w:val="0F253ADE"/>
    <w:rsid w:val="0F2C67AC"/>
    <w:rsid w:val="0F2D4EDE"/>
    <w:rsid w:val="0F314047"/>
    <w:rsid w:val="0F31609A"/>
    <w:rsid w:val="0F32757D"/>
    <w:rsid w:val="0F340285"/>
    <w:rsid w:val="0F34172C"/>
    <w:rsid w:val="0F425F0E"/>
    <w:rsid w:val="0F443DD6"/>
    <w:rsid w:val="0F4A313E"/>
    <w:rsid w:val="0F4E05E4"/>
    <w:rsid w:val="0F4F75B4"/>
    <w:rsid w:val="0F502B54"/>
    <w:rsid w:val="0F591CEA"/>
    <w:rsid w:val="0F6013A0"/>
    <w:rsid w:val="0F635232"/>
    <w:rsid w:val="0F6A6302"/>
    <w:rsid w:val="0F6F23DE"/>
    <w:rsid w:val="0F731A39"/>
    <w:rsid w:val="0F80177C"/>
    <w:rsid w:val="0F8D0B4E"/>
    <w:rsid w:val="0F8F102F"/>
    <w:rsid w:val="0F90308F"/>
    <w:rsid w:val="0FA12327"/>
    <w:rsid w:val="0FA470F8"/>
    <w:rsid w:val="0FB5088D"/>
    <w:rsid w:val="0FB97767"/>
    <w:rsid w:val="0FBF3418"/>
    <w:rsid w:val="0FC46A56"/>
    <w:rsid w:val="0FC57BB8"/>
    <w:rsid w:val="0FC64033"/>
    <w:rsid w:val="0FD6188A"/>
    <w:rsid w:val="0FD756DE"/>
    <w:rsid w:val="0FDC3819"/>
    <w:rsid w:val="0FE06793"/>
    <w:rsid w:val="0FEB42D4"/>
    <w:rsid w:val="0FEC43A6"/>
    <w:rsid w:val="0FEC5D00"/>
    <w:rsid w:val="0FF575F8"/>
    <w:rsid w:val="0FF65FDC"/>
    <w:rsid w:val="0FFC2C49"/>
    <w:rsid w:val="10000831"/>
    <w:rsid w:val="100579D5"/>
    <w:rsid w:val="10063E75"/>
    <w:rsid w:val="100A6767"/>
    <w:rsid w:val="100E163A"/>
    <w:rsid w:val="10120484"/>
    <w:rsid w:val="101B5567"/>
    <w:rsid w:val="101E5AA7"/>
    <w:rsid w:val="101F242C"/>
    <w:rsid w:val="1026756C"/>
    <w:rsid w:val="10300696"/>
    <w:rsid w:val="10341346"/>
    <w:rsid w:val="103A03C5"/>
    <w:rsid w:val="103F1D69"/>
    <w:rsid w:val="10422EDC"/>
    <w:rsid w:val="104E4B56"/>
    <w:rsid w:val="10532774"/>
    <w:rsid w:val="1054045C"/>
    <w:rsid w:val="10567C68"/>
    <w:rsid w:val="105A58C1"/>
    <w:rsid w:val="10603F96"/>
    <w:rsid w:val="10706296"/>
    <w:rsid w:val="10721F79"/>
    <w:rsid w:val="10797EF4"/>
    <w:rsid w:val="107D3C0E"/>
    <w:rsid w:val="1083031A"/>
    <w:rsid w:val="108778E8"/>
    <w:rsid w:val="108C1765"/>
    <w:rsid w:val="108C3C3D"/>
    <w:rsid w:val="10907344"/>
    <w:rsid w:val="109821F7"/>
    <w:rsid w:val="10986676"/>
    <w:rsid w:val="109A3848"/>
    <w:rsid w:val="109B10D0"/>
    <w:rsid w:val="109C7765"/>
    <w:rsid w:val="10A15189"/>
    <w:rsid w:val="10A547DE"/>
    <w:rsid w:val="10AF75A3"/>
    <w:rsid w:val="10B47A73"/>
    <w:rsid w:val="10B81757"/>
    <w:rsid w:val="10BD4E74"/>
    <w:rsid w:val="10BF2E44"/>
    <w:rsid w:val="10CA7A27"/>
    <w:rsid w:val="10CC033C"/>
    <w:rsid w:val="10D00203"/>
    <w:rsid w:val="10D32F67"/>
    <w:rsid w:val="10D47D5C"/>
    <w:rsid w:val="10D54519"/>
    <w:rsid w:val="10DC0B31"/>
    <w:rsid w:val="10E00FE3"/>
    <w:rsid w:val="10E356AB"/>
    <w:rsid w:val="10ED7F30"/>
    <w:rsid w:val="10EF5E68"/>
    <w:rsid w:val="10F47A30"/>
    <w:rsid w:val="10F47D17"/>
    <w:rsid w:val="10F87453"/>
    <w:rsid w:val="10F90E81"/>
    <w:rsid w:val="10FF2F5F"/>
    <w:rsid w:val="11021CFB"/>
    <w:rsid w:val="11021D6E"/>
    <w:rsid w:val="1106136F"/>
    <w:rsid w:val="11083C1F"/>
    <w:rsid w:val="110E45C9"/>
    <w:rsid w:val="11163D3E"/>
    <w:rsid w:val="111D3618"/>
    <w:rsid w:val="11272C1C"/>
    <w:rsid w:val="112F01F3"/>
    <w:rsid w:val="11346B30"/>
    <w:rsid w:val="11362E5F"/>
    <w:rsid w:val="113C1FC5"/>
    <w:rsid w:val="113D3E3F"/>
    <w:rsid w:val="113D55E6"/>
    <w:rsid w:val="113F6847"/>
    <w:rsid w:val="11426A9B"/>
    <w:rsid w:val="11475CD2"/>
    <w:rsid w:val="11477748"/>
    <w:rsid w:val="114D0250"/>
    <w:rsid w:val="11537704"/>
    <w:rsid w:val="1154342B"/>
    <w:rsid w:val="11573160"/>
    <w:rsid w:val="11627F95"/>
    <w:rsid w:val="116327EE"/>
    <w:rsid w:val="116739ED"/>
    <w:rsid w:val="116E2CB0"/>
    <w:rsid w:val="11744AB8"/>
    <w:rsid w:val="118E2314"/>
    <w:rsid w:val="119058C1"/>
    <w:rsid w:val="119222F2"/>
    <w:rsid w:val="119734D3"/>
    <w:rsid w:val="119A1E99"/>
    <w:rsid w:val="11A3386B"/>
    <w:rsid w:val="11AF7FCE"/>
    <w:rsid w:val="11B14974"/>
    <w:rsid w:val="11BB4CD7"/>
    <w:rsid w:val="11C13424"/>
    <w:rsid w:val="11C23717"/>
    <w:rsid w:val="11C43249"/>
    <w:rsid w:val="11C60A1A"/>
    <w:rsid w:val="11D53847"/>
    <w:rsid w:val="11DA3226"/>
    <w:rsid w:val="11DA7C8F"/>
    <w:rsid w:val="11DD2374"/>
    <w:rsid w:val="11E21C10"/>
    <w:rsid w:val="11E84264"/>
    <w:rsid w:val="11EA5AEE"/>
    <w:rsid w:val="11EC3740"/>
    <w:rsid w:val="11EC6DCB"/>
    <w:rsid w:val="11EF6C29"/>
    <w:rsid w:val="11F22E63"/>
    <w:rsid w:val="11F568A3"/>
    <w:rsid w:val="11F70B57"/>
    <w:rsid w:val="11F815D6"/>
    <w:rsid w:val="12047298"/>
    <w:rsid w:val="12104BBD"/>
    <w:rsid w:val="121220D8"/>
    <w:rsid w:val="1215211F"/>
    <w:rsid w:val="12172F68"/>
    <w:rsid w:val="121B6C13"/>
    <w:rsid w:val="12203257"/>
    <w:rsid w:val="122320E5"/>
    <w:rsid w:val="12337389"/>
    <w:rsid w:val="12371DF9"/>
    <w:rsid w:val="124D1B03"/>
    <w:rsid w:val="124D6FC3"/>
    <w:rsid w:val="12500232"/>
    <w:rsid w:val="12504C31"/>
    <w:rsid w:val="12516E7E"/>
    <w:rsid w:val="12520F4B"/>
    <w:rsid w:val="12527D40"/>
    <w:rsid w:val="12532386"/>
    <w:rsid w:val="1265749A"/>
    <w:rsid w:val="1267663B"/>
    <w:rsid w:val="126C1967"/>
    <w:rsid w:val="12710C1B"/>
    <w:rsid w:val="1277751E"/>
    <w:rsid w:val="127C3478"/>
    <w:rsid w:val="12801C2E"/>
    <w:rsid w:val="12982522"/>
    <w:rsid w:val="12996871"/>
    <w:rsid w:val="12A943F8"/>
    <w:rsid w:val="12AC6D3C"/>
    <w:rsid w:val="12B43182"/>
    <w:rsid w:val="12B46A84"/>
    <w:rsid w:val="12B57D1C"/>
    <w:rsid w:val="12B65673"/>
    <w:rsid w:val="12BA0258"/>
    <w:rsid w:val="12BD5EE5"/>
    <w:rsid w:val="12C625B4"/>
    <w:rsid w:val="12D11D9F"/>
    <w:rsid w:val="12D35644"/>
    <w:rsid w:val="12DC5FFB"/>
    <w:rsid w:val="12FA0262"/>
    <w:rsid w:val="12FE32F7"/>
    <w:rsid w:val="13002861"/>
    <w:rsid w:val="13105018"/>
    <w:rsid w:val="1312630E"/>
    <w:rsid w:val="131C5CF6"/>
    <w:rsid w:val="13220956"/>
    <w:rsid w:val="13227EB1"/>
    <w:rsid w:val="132615AF"/>
    <w:rsid w:val="132707AB"/>
    <w:rsid w:val="1328658F"/>
    <w:rsid w:val="132E5C6D"/>
    <w:rsid w:val="133B30B8"/>
    <w:rsid w:val="13400045"/>
    <w:rsid w:val="13400191"/>
    <w:rsid w:val="1355648A"/>
    <w:rsid w:val="136F49A1"/>
    <w:rsid w:val="13783516"/>
    <w:rsid w:val="137C2658"/>
    <w:rsid w:val="137E142A"/>
    <w:rsid w:val="13824BD3"/>
    <w:rsid w:val="138963A5"/>
    <w:rsid w:val="138974E8"/>
    <w:rsid w:val="138A039A"/>
    <w:rsid w:val="13905376"/>
    <w:rsid w:val="139532E4"/>
    <w:rsid w:val="13A30FC3"/>
    <w:rsid w:val="13A31406"/>
    <w:rsid w:val="13A90461"/>
    <w:rsid w:val="13AA439F"/>
    <w:rsid w:val="13AB3CA6"/>
    <w:rsid w:val="13BA0710"/>
    <w:rsid w:val="13BF1D88"/>
    <w:rsid w:val="13CE35AC"/>
    <w:rsid w:val="13DE3682"/>
    <w:rsid w:val="13EB3632"/>
    <w:rsid w:val="13ED26CD"/>
    <w:rsid w:val="13F152CB"/>
    <w:rsid w:val="13F3729E"/>
    <w:rsid w:val="13F756FA"/>
    <w:rsid w:val="13F930D1"/>
    <w:rsid w:val="14022C1D"/>
    <w:rsid w:val="14166F24"/>
    <w:rsid w:val="14224734"/>
    <w:rsid w:val="14226A01"/>
    <w:rsid w:val="14237882"/>
    <w:rsid w:val="143E1552"/>
    <w:rsid w:val="143F6AFF"/>
    <w:rsid w:val="1441640F"/>
    <w:rsid w:val="144D5E33"/>
    <w:rsid w:val="144F1B46"/>
    <w:rsid w:val="1458736B"/>
    <w:rsid w:val="146B0173"/>
    <w:rsid w:val="147507FB"/>
    <w:rsid w:val="14786AC1"/>
    <w:rsid w:val="147E2FA1"/>
    <w:rsid w:val="14801838"/>
    <w:rsid w:val="1483397E"/>
    <w:rsid w:val="14870828"/>
    <w:rsid w:val="1491415B"/>
    <w:rsid w:val="14920E25"/>
    <w:rsid w:val="14942FB9"/>
    <w:rsid w:val="14963450"/>
    <w:rsid w:val="1498573C"/>
    <w:rsid w:val="1499114F"/>
    <w:rsid w:val="14991CB0"/>
    <w:rsid w:val="149E108F"/>
    <w:rsid w:val="14A1759C"/>
    <w:rsid w:val="14A60BAC"/>
    <w:rsid w:val="14B204D7"/>
    <w:rsid w:val="14B75A7E"/>
    <w:rsid w:val="14BF4133"/>
    <w:rsid w:val="14C155EF"/>
    <w:rsid w:val="14C35AEA"/>
    <w:rsid w:val="14C5324D"/>
    <w:rsid w:val="14C6573A"/>
    <w:rsid w:val="14C82B34"/>
    <w:rsid w:val="14CC75FA"/>
    <w:rsid w:val="14CF6F5D"/>
    <w:rsid w:val="14D17392"/>
    <w:rsid w:val="14D86151"/>
    <w:rsid w:val="14DD103E"/>
    <w:rsid w:val="14E04496"/>
    <w:rsid w:val="14EA76A8"/>
    <w:rsid w:val="14EB34AC"/>
    <w:rsid w:val="14EB6105"/>
    <w:rsid w:val="14F2308B"/>
    <w:rsid w:val="14FA2877"/>
    <w:rsid w:val="14FD3AEE"/>
    <w:rsid w:val="14FD6BC6"/>
    <w:rsid w:val="15023448"/>
    <w:rsid w:val="15042DFB"/>
    <w:rsid w:val="15064D14"/>
    <w:rsid w:val="150F7321"/>
    <w:rsid w:val="151559B8"/>
    <w:rsid w:val="151B42D6"/>
    <w:rsid w:val="151C0A99"/>
    <w:rsid w:val="151D622D"/>
    <w:rsid w:val="152550D0"/>
    <w:rsid w:val="15367CEF"/>
    <w:rsid w:val="153A0035"/>
    <w:rsid w:val="153C511F"/>
    <w:rsid w:val="15404987"/>
    <w:rsid w:val="1546327C"/>
    <w:rsid w:val="154D51FF"/>
    <w:rsid w:val="1555109B"/>
    <w:rsid w:val="155F58CA"/>
    <w:rsid w:val="1560619C"/>
    <w:rsid w:val="156B69AA"/>
    <w:rsid w:val="156C652F"/>
    <w:rsid w:val="15700B17"/>
    <w:rsid w:val="15702D93"/>
    <w:rsid w:val="1584685F"/>
    <w:rsid w:val="158570C9"/>
    <w:rsid w:val="1592090C"/>
    <w:rsid w:val="159B4CCA"/>
    <w:rsid w:val="159D5808"/>
    <w:rsid w:val="15A06FF2"/>
    <w:rsid w:val="15A46E63"/>
    <w:rsid w:val="15A52865"/>
    <w:rsid w:val="15AB3CC0"/>
    <w:rsid w:val="15B4460C"/>
    <w:rsid w:val="15B67258"/>
    <w:rsid w:val="15B72A84"/>
    <w:rsid w:val="15BC6959"/>
    <w:rsid w:val="15C562E2"/>
    <w:rsid w:val="15D03364"/>
    <w:rsid w:val="15DC62AF"/>
    <w:rsid w:val="15DF61C4"/>
    <w:rsid w:val="15EA1E1C"/>
    <w:rsid w:val="15EF9B8D"/>
    <w:rsid w:val="15F01B3F"/>
    <w:rsid w:val="15F070F9"/>
    <w:rsid w:val="15F11A48"/>
    <w:rsid w:val="15F62CC1"/>
    <w:rsid w:val="15F725BC"/>
    <w:rsid w:val="15F91847"/>
    <w:rsid w:val="15FA1B50"/>
    <w:rsid w:val="15FA7C65"/>
    <w:rsid w:val="15FB6686"/>
    <w:rsid w:val="15FF2CD1"/>
    <w:rsid w:val="16060241"/>
    <w:rsid w:val="16081ED8"/>
    <w:rsid w:val="16095AFF"/>
    <w:rsid w:val="160A5000"/>
    <w:rsid w:val="160D102D"/>
    <w:rsid w:val="16143236"/>
    <w:rsid w:val="161C25C1"/>
    <w:rsid w:val="161D7314"/>
    <w:rsid w:val="161E428D"/>
    <w:rsid w:val="162121B1"/>
    <w:rsid w:val="162333FF"/>
    <w:rsid w:val="16270C37"/>
    <w:rsid w:val="162B3FD9"/>
    <w:rsid w:val="163539B0"/>
    <w:rsid w:val="163A4DD8"/>
    <w:rsid w:val="163A4FD7"/>
    <w:rsid w:val="163F488C"/>
    <w:rsid w:val="165243D6"/>
    <w:rsid w:val="1654399A"/>
    <w:rsid w:val="165F34B5"/>
    <w:rsid w:val="16624548"/>
    <w:rsid w:val="166415C4"/>
    <w:rsid w:val="16655910"/>
    <w:rsid w:val="1670292F"/>
    <w:rsid w:val="16720397"/>
    <w:rsid w:val="16796398"/>
    <w:rsid w:val="167E4717"/>
    <w:rsid w:val="168179AD"/>
    <w:rsid w:val="16876F47"/>
    <w:rsid w:val="16893317"/>
    <w:rsid w:val="169567ED"/>
    <w:rsid w:val="169979F2"/>
    <w:rsid w:val="16A8222F"/>
    <w:rsid w:val="16AF3F50"/>
    <w:rsid w:val="16B37CD2"/>
    <w:rsid w:val="16B70F95"/>
    <w:rsid w:val="16C53C90"/>
    <w:rsid w:val="16DE10C7"/>
    <w:rsid w:val="16E26923"/>
    <w:rsid w:val="16E353AF"/>
    <w:rsid w:val="16EE785C"/>
    <w:rsid w:val="17005BF2"/>
    <w:rsid w:val="170B2DE7"/>
    <w:rsid w:val="170D4535"/>
    <w:rsid w:val="17150DAB"/>
    <w:rsid w:val="171B57A6"/>
    <w:rsid w:val="171D28E1"/>
    <w:rsid w:val="172A6B63"/>
    <w:rsid w:val="172C09C0"/>
    <w:rsid w:val="1730587D"/>
    <w:rsid w:val="17313BED"/>
    <w:rsid w:val="1734468E"/>
    <w:rsid w:val="173723E2"/>
    <w:rsid w:val="173C3BCF"/>
    <w:rsid w:val="17435BAF"/>
    <w:rsid w:val="17480164"/>
    <w:rsid w:val="174B5EF9"/>
    <w:rsid w:val="174E4C34"/>
    <w:rsid w:val="175079B9"/>
    <w:rsid w:val="1751209A"/>
    <w:rsid w:val="17543A7F"/>
    <w:rsid w:val="1758341D"/>
    <w:rsid w:val="17601EBB"/>
    <w:rsid w:val="176075D3"/>
    <w:rsid w:val="176209E7"/>
    <w:rsid w:val="1768007F"/>
    <w:rsid w:val="1779305E"/>
    <w:rsid w:val="17812B34"/>
    <w:rsid w:val="17843692"/>
    <w:rsid w:val="178B7960"/>
    <w:rsid w:val="1798692F"/>
    <w:rsid w:val="17A6334D"/>
    <w:rsid w:val="17AE317B"/>
    <w:rsid w:val="17B85BBA"/>
    <w:rsid w:val="17C942A9"/>
    <w:rsid w:val="17CD6181"/>
    <w:rsid w:val="17DC1725"/>
    <w:rsid w:val="17DE72B7"/>
    <w:rsid w:val="17E20D1C"/>
    <w:rsid w:val="17EA5E1E"/>
    <w:rsid w:val="17EA66EA"/>
    <w:rsid w:val="17EC41E1"/>
    <w:rsid w:val="17F70F34"/>
    <w:rsid w:val="1800462E"/>
    <w:rsid w:val="18071588"/>
    <w:rsid w:val="181D2EFA"/>
    <w:rsid w:val="18221301"/>
    <w:rsid w:val="18225EF1"/>
    <w:rsid w:val="182A7810"/>
    <w:rsid w:val="183069A4"/>
    <w:rsid w:val="18321DF7"/>
    <w:rsid w:val="18370997"/>
    <w:rsid w:val="183A0EC6"/>
    <w:rsid w:val="184173E8"/>
    <w:rsid w:val="18506630"/>
    <w:rsid w:val="185826DA"/>
    <w:rsid w:val="185A5120"/>
    <w:rsid w:val="18611EA0"/>
    <w:rsid w:val="18653077"/>
    <w:rsid w:val="186B3FE5"/>
    <w:rsid w:val="186E2B2D"/>
    <w:rsid w:val="18730A77"/>
    <w:rsid w:val="187619E6"/>
    <w:rsid w:val="187E5D26"/>
    <w:rsid w:val="187F335B"/>
    <w:rsid w:val="18885888"/>
    <w:rsid w:val="1894179F"/>
    <w:rsid w:val="189F539A"/>
    <w:rsid w:val="18A116BD"/>
    <w:rsid w:val="18A3282A"/>
    <w:rsid w:val="18AD2830"/>
    <w:rsid w:val="18AD518E"/>
    <w:rsid w:val="18B32D6A"/>
    <w:rsid w:val="18B55170"/>
    <w:rsid w:val="18B60B6E"/>
    <w:rsid w:val="18BC0779"/>
    <w:rsid w:val="18BF5E5C"/>
    <w:rsid w:val="18C2504B"/>
    <w:rsid w:val="18C42DBA"/>
    <w:rsid w:val="18D4270C"/>
    <w:rsid w:val="18DF2356"/>
    <w:rsid w:val="18E751AF"/>
    <w:rsid w:val="18EA5B19"/>
    <w:rsid w:val="18F56010"/>
    <w:rsid w:val="18F6629D"/>
    <w:rsid w:val="18F94EE5"/>
    <w:rsid w:val="18FB36E6"/>
    <w:rsid w:val="18FF0A2E"/>
    <w:rsid w:val="190F411C"/>
    <w:rsid w:val="19142EE6"/>
    <w:rsid w:val="191F2AFA"/>
    <w:rsid w:val="1929269E"/>
    <w:rsid w:val="192F0D34"/>
    <w:rsid w:val="1939490B"/>
    <w:rsid w:val="194212E1"/>
    <w:rsid w:val="19584C29"/>
    <w:rsid w:val="195E3E1D"/>
    <w:rsid w:val="1973495F"/>
    <w:rsid w:val="197536BB"/>
    <w:rsid w:val="19806D56"/>
    <w:rsid w:val="19864661"/>
    <w:rsid w:val="199061D9"/>
    <w:rsid w:val="19996E03"/>
    <w:rsid w:val="199D5DDB"/>
    <w:rsid w:val="19A23105"/>
    <w:rsid w:val="19B219F4"/>
    <w:rsid w:val="19B50A5E"/>
    <w:rsid w:val="19B760A8"/>
    <w:rsid w:val="19BD1CFE"/>
    <w:rsid w:val="19C54A70"/>
    <w:rsid w:val="19C67363"/>
    <w:rsid w:val="19C92788"/>
    <w:rsid w:val="19C945DE"/>
    <w:rsid w:val="19CA23B9"/>
    <w:rsid w:val="19D156BC"/>
    <w:rsid w:val="19D74F04"/>
    <w:rsid w:val="19DC58FA"/>
    <w:rsid w:val="19F35A27"/>
    <w:rsid w:val="19F56342"/>
    <w:rsid w:val="1A045318"/>
    <w:rsid w:val="1A055C38"/>
    <w:rsid w:val="1A087D0E"/>
    <w:rsid w:val="1A0E07A1"/>
    <w:rsid w:val="1A111654"/>
    <w:rsid w:val="1A124192"/>
    <w:rsid w:val="1A1A3CDA"/>
    <w:rsid w:val="1A1A5DAD"/>
    <w:rsid w:val="1A2A3D69"/>
    <w:rsid w:val="1A2B059C"/>
    <w:rsid w:val="1A2E6712"/>
    <w:rsid w:val="1A315DD1"/>
    <w:rsid w:val="1A3501CD"/>
    <w:rsid w:val="1A397107"/>
    <w:rsid w:val="1A3A4F94"/>
    <w:rsid w:val="1A3B4F6B"/>
    <w:rsid w:val="1A3C24A9"/>
    <w:rsid w:val="1A3E1278"/>
    <w:rsid w:val="1A5363F7"/>
    <w:rsid w:val="1A580BD8"/>
    <w:rsid w:val="1A65142D"/>
    <w:rsid w:val="1A6822F4"/>
    <w:rsid w:val="1A6B3616"/>
    <w:rsid w:val="1A740A46"/>
    <w:rsid w:val="1A872A12"/>
    <w:rsid w:val="1A8D28D6"/>
    <w:rsid w:val="1A8E00E9"/>
    <w:rsid w:val="1A9226AE"/>
    <w:rsid w:val="1A9E54B0"/>
    <w:rsid w:val="1AA00ABB"/>
    <w:rsid w:val="1AB91400"/>
    <w:rsid w:val="1AC14F8C"/>
    <w:rsid w:val="1AC176FB"/>
    <w:rsid w:val="1AC837C1"/>
    <w:rsid w:val="1AD03F0F"/>
    <w:rsid w:val="1ADD60D9"/>
    <w:rsid w:val="1AE82E43"/>
    <w:rsid w:val="1AEA4938"/>
    <w:rsid w:val="1AF13336"/>
    <w:rsid w:val="1AF43F00"/>
    <w:rsid w:val="1AF80838"/>
    <w:rsid w:val="1AF80EA4"/>
    <w:rsid w:val="1AFC1C91"/>
    <w:rsid w:val="1B074DA9"/>
    <w:rsid w:val="1B095903"/>
    <w:rsid w:val="1B0C26CA"/>
    <w:rsid w:val="1B135D29"/>
    <w:rsid w:val="1B152E8D"/>
    <w:rsid w:val="1B303882"/>
    <w:rsid w:val="1B351EE8"/>
    <w:rsid w:val="1B3B734E"/>
    <w:rsid w:val="1B3D7C52"/>
    <w:rsid w:val="1B472213"/>
    <w:rsid w:val="1B47751A"/>
    <w:rsid w:val="1B4D3741"/>
    <w:rsid w:val="1B534890"/>
    <w:rsid w:val="1B551190"/>
    <w:rsid w:val="1B55577C"/>
    <w:rsid w:val="1B5A0311"/>
    <w:rsid w:val="1B6E13F3"/>
    <w:rsid w:val="1B804242"/>
    <w:rsid w:val="1B8158FF"/>
    <w:rsid w:val="1B82787B"/>
    <w:rsid w:val="1B8357F2"/>
    <w:rsid w:val="1B8B6876"/>
    <w:rsid w:val="1B8D4B2E"/>
    <w:rsid w:val="1B8F26C6"/>
    <w:rsid w:val="1B903EE2"/>
    <w:rsid w:val="1B9B7472"/>
    <w:rsid w:val="1BA0668A"/>
    <w:rsid w:val="1BAE14F8"/>
    <w:rsid w:val="1BB127F6"/>
    <w:rsid w:val="1BBC1049"/>
    <w:rsid w:val="1BBC67E7"/>
    <w:rsid w:val="1BC67D9A"/>
    <w:rsid w:val="1BD02F72"/>
    <w:rsid w:val="1BDA50E3"/>
    <w:rsid w:val="1BE2301B"/>
    <w:rsid w:val="1BEC2B41"/>
    <w:rsid w:val="1BED2CFB"/>
    <w:rsid w:val="1BF867C3"/>
    <w:rsid w:val="1C04440C"/>
    <w:rsid w:val="1C0556D6"/>
    <w:rsid w:val="1C0B74FC"/>
    <w:rsid w:val="1C101482"/>
    <w:rsid w:val="1C1F6577"/>
    <w:rsid w:val="1C20757A"/>
    <w:rsid w:val="1C263616"/>
    <w:rsid w:val="1C2F45BE"/>
    <w:rsid w:val="1C316715"/>
    <w:rsid w:val="1C377675"/>
    <w:rsid w:val="1C3D50A3"/>
    <w:rsid w:val="1C3E095B"/>
    <w:rsid w:val="1C490FFF"/>
    <w:rsid w:val="1C51281E"/>
    <w:rsid w:val="1C552B55"/>
    <w:rsid w:val="1C5753E9"/>
    <w:rsid w:val="1C5F09D0"/>
    <w:rsid w:val="1C757F7F"/>
    <w:rsid w:val="1C787286"/>
    <w:rsid w:val="1C7A531A"/>
    <w:rsid w:val="1C7D7EB8"/>
    <w:rsid w:val="1C8801E2"/>
    <w:rsid w:val="1C924399"/>
    <w:rsid w:val="1C9A5EA0"/>
    <w:rsid w:val="1C9A6A63"/>
    <w:rsid w:val="1C9F6C4A"/>
    <w:rsid w:val="1CA14100"/>
    <w:rsid w:val="1CB1573A"/>
    <w:rsid w:val="1CBB0F59"/>
    <w:rsid w:val="1CBB7CFB"/>
    <w:rsid w:val="1CBE2DAD"/>
    <w:rsid w:val="1CC66A21"/>
    <w:rsid w:val="1CC67F19"/>
    <w:rsid w:val="1CC7659B"/>
    <w:rsid w:val="1CCA721C"/>
    <w:rsid w:val="1CD41FC4"/>
    <w:rsid w:val="1CD72333"/>
    <w:rsid w:val="1CD955BC"/>
    <w:rsid w:val="1CDA3475"/>
    <w:rsid w:val="1CEC52E1"/>
    <w:rsid w:val="1CF52455"/>
    <w:rsid w:val="1CF645EB"/>
    <w:rsid w:val="1CFA3F26"/>
    <w:rsid w:val="1CFB4DD2"/>
    <w:rsid w:val="1CFB7A1C"/>
    <w:rsid w:val="1D051253"/>
    <w:rsid w:val="1D075BC9"/>
    <w:rsid w:val="1D080B41"/>
    <w:rsid w:val="1D146371"/>
    <w:rsid w:val="1D1D2D86"/>
    <w:rsid w:val="1D201B2A"/>
    <w:rsid w:val="1D2768F8"/>
    <w:rsid w:val="1D296739"/>
    <w:rsid w:val="1D2C06E2"/>
    <w:rsid w:val="1D3B59B9"/>
    <w:rsid w:val="1D3D615E"/>
    <w:rsid w:val="1D441B58"/>
    <w:rsid w:val="1D4428DE"/>
    <w:rsid w:val="1D487B7E"/>
    <w:rsid w:val="1D4D79F9"/>
    <w:rsid w:val="1D5738B0"/>
    <w:rsid w:val="1D59054B"/>
    <w:rsid w:val="1D5D6ACF"/>
    <w:rsid w:val="1D5D6CBA"/>
    <w:rsid w:val="1D5E7A8C"/>
    <w:rsid w:val="1D6222F8"/>
    <w:rsid w:val="1D7532E3"/>
    <w:rsid w:val="1D805237"/>
    <w:rsid w:val="1D810454"/>
    <w:rsid w:val="1D8C4C05"/>
    <w:rsid w:val="1D930C98"/>
    <w:rsid w:val="1D9C60F5"/>
    <w:rsid w:val="1DA05CC2"/>
    <w:rsid w:val="1DA2040C"/>
    <w:rsid w:val="1DA533ED"/>
    <w:rsid w:val="1DA83214"/>
    <w:rsid w:val="1DB47CDC"/>
    <w:rsid w:val="1DB65020"/>
    <w:rsid w:val="1DC41BB0"/>
    <w:rsid w:val="1DC65AF6"/>
    <w:rsid w:val="1DEA39D1"/>
    <w:rsid w:val="1DEC6646"/>
    <w:rsid w:val="1DF86462"/>
    <w:rsid w:val="1E042D27"/>
    <w:rsid w:val="1E0E23C8"/>
    <w:rsid w:val="1E105C11"/>
    <w:rsid w:val="1E16717D"/>
    <w:rsid w:val="1E1B5EEE"/>
    <w:rsid w:val="1E28783A"/>
    <w:rsid w:val="1E295D47"/>
    <w:rsid w:val="1E2E6CFE"/>
    <w:rsid w:val="1E2F6D14"/>
    <w:rsid w:val="1E31641D"/>
    <w:rsid w:val="1E3525F0"/>
    <w:rsid w:val="1E357706"/>
    <w:rsid w:val="1E365099"/>
    <w:rsid w:val="1E377012"/>
    <w:rsid w:val="1E3C35CE"/>
    <w:rsid w:val="1E440A9D"/>
    <w:rsid w:val="1E4465E0"/>
    <w:rsid w:val="1E4869A0"/>
    <w:rsid w:val="1E4D33DE"/>
    <w:rsid w:val="1E4E7A0E"/>
    <w:rsid w:val="1E4F1888"/>
    <w:rsid w:val="1E5C084B"/>
    <w:rsid w:val="1E686FB4"/>
    <w:rsid w:val="1E72695B"/>
    <w:rsid w:val="1E726D02"/>
    <w:rsid w:val="1E742DF8"/>
    <w:rsid w:val="1E750074"/>
    <w:rsid w:val="1E7D153B"/>
    <w:rsid w:val="1E7E23AD"/>
    <w:rsid w:val="1E895CE0"/>
    <w:rsid w:val="1E8E56A7"/>
    <w:rsid w:val="1E9F341B"/>
    <w:rsid w:val="1EA42A59"/>
    <w:rsid w:val="1EA569F7"/>
    <w:rsid w:val="1EAC5F6A"/>
    <w:rsid w:val="1EB1048D"/>
    <w:rsid w:val="1EB23F53"/>
    <w:rsid w:val="1EB31AED"/>
    <w:rsid w:val="1EB737FD"/>
    <w:rsid w:val="1EBB6441"/>
    <w:rsid w:val="1EBF6062"/>
    <w:rsid w:val="1EC55D6A"/>
    <w:rsid w:val="1ECC204F"/>
    <w:rsid w:val="1EE10A81"/>
    <w:rsid w:val="1EED0ACF"/>
    <w:rsid w:val="1EF43711"/>
    <w:rsid w:val="1EF451B0"/>
    <w:rsid w:val="1EF62CF5"/>
    <w:rsid w:val="1EF673C1"/>
    <w:rsid w:val="1EF6775E"/>
    <w:rsid w:val="1EFE123B"/>
    <w:rsid w:val="1EFE1FB4"/>
    <w:rsid w:val="1F015E1D"/>
    <w:rsid w:val="1F027B66"/>
    <w:rsid w:val="1F0467F7"/>
    <w:rsid w:val="1F054165"/>
    <w:rsid w:val="1F0E4381"/>
    <w:rsid w:val="1F123352"/>
    <w:rsid w:val="1F1659F6"/>
    <w:rsid w:val="1F182020"/>
    <w:rsid w:val="1F186BAA"/>
    <w:rsid w:val="1F261640"/>
    <w:rsid w:val="1F261D3A"/>
    <w:rsid w:val="1F2A5DDB"/>
    <w:rsid w:val="1F3B75FF"/>
    <w:rsid w:val="1F41163A"/>
    <w:rsid w:val="1F47787D"/>
    <w:rsid w:val="1F4E3356"/>
    <w:rsid w:val="1F546471"/>
    <w:rsid w:val="1F5772DA"/>
    <w:rsid w:val="1F5C3C4E"/>
    <w:rsid w:val="1F690D21"/>
    <w:rsid w:val="1F734D0F"/>
    <w:rsid w:val="1F743C11"/>
    <w:rsid w:val="1F7827EE"/>
    <w:rsid w:val="1F7B76BF"/>
    <w:rsid w:val="1F7C26CB"/>
    <w:rsid w:val="1F7D2985"/>
    <w:rsid w:val="1F7F7D85"/>
    <w:rsid w:val="1F8117B3"/>
    <w:rsid w:val="1F885D57"/>
    <w:rsid w:val="1F8A763D"/>
    <w:rsid w:val="1FA27229"/>
    <w:rsid w:val="1FA6339C"/>
    <w:rsid w:val="1FB11014"/>
    <w:rsid w:val="1FBA443E"/>
    <w:rsid w:val="1FBB763F"/>
    <w:rsid w:val="1FBC79E0"/>
    <w:rsid w:val="1FC74197"/>
    <w:rsid w:val="1FD479BA"/>
    <w:rsid w:val="1FD55230"/>
    <w:rsid w:val="1FD641AB"/>
    <w:rsid w:val="1FE15B0A"/>
    <w:rsid w:val="1FE41C04"/>
    <w:rsid w:val="1FF92EB1"/>
    <w:rsid w:val="1FFA0B0A"/>
    <w:rsid w:val="20006656"/>
    <w:rsid w:val="20084F74"/>
    <w:rsid w:val="200C6F0C"/>
    <w:rsid w:val="201D4044"/>
    <w:rsid w:val="201E5A7F"/>
    <w:rsid w:val="20213B0F"/>
    <w:rsid w:val="202C6A57"/>
    <w:rsid w:val="20347263"/>
    <w:rsid w:val="2037325A"/>
    <w:rsid w:val="203E746B"/>
    <w:rsid w:val="20450A76"/>
    <w:rsid w:val="20455F9C"/>
    <w:rsid w:val="205358CB"/>
    <w:rsid w:val="20537AB4"/>
    <w:rsid w:val="20542F9F"/>
    <w:rsid w:val="20543631"/>
    <w:rsid w:val="20565824"/>
    <w:rsid w:val="20594C0C"/>
    <w:rsid w:val="206A0EAE"/>
    <w:rsid w:val="206E4151"/>
    <w:rsid w:val="207E5919"/>
    <w:rsid w:val="208112A2"/>
    <w:rsid w:val="20851825"/>
    <w:rsid w:val="208B227B"/>
    <w:rsid w:val="208D6616"/>
    <w:rsid w:val="208E3E84"/>
    <w:rsid w:val="209078E2"/>
    <w:rsid w:val="209240DB"/>
    <w:rsid w:val="20934C03"/>
    <w:rsid w:val="20970CCE"/>
    <w:rsid w:val="2097534B"/>
    <w:rsid w:val="20992CFD"/>
    <w:rsid w:val="2099754F"/>
    <w:rsid w:val="20A3135D"/>
    <w:rsid w:val="20A32D27"/>
    <w:rsid w:val="20A443A7"/>
    <w:rsid w:val="20AC32E3"/>
    <w:rsid w:val="20B27C05"/>
    <w:rsid w:val="20B56DF9"/>
    <w:rsid w:val="20C05709"/>
    <w:rsid w:val="20CA4CDE"/>
    <w:rsid w:val="20DE6240"/>
    <w:rsid w:val="20EA32FE"/>
    <w:rsid w:val="20F17C8F"/>
    <w:rsid w:val="20F3607F"/>
    <w:rsid w:val="20FE3807"/>
    <w:rsid w:val="212B15F0"/>
    <w:rsid w:val="212D241D"/>
    <w:rsid w:val="21331CB4"/>
    <w:rsid w:val="213865BC"/>
    <w:rsid w:val="21460339"/>
    <w:rsid w:val="21485CC6"/>
    <w:rsid w:val="214B7E02"/>
    <w:rsid w:val="2150457A"/>
    <w:rsid w:val="21534D15"/>
    <w:rsid w:val="215E0FE1"/>
    <w:rsid w:val="215F39ED"/>
    <w:rsid w:val="21677DA7"/>
    <w:rsid w:val="21704749"/>
    <w:rsid w:val="217C0708"/>
    <w:rsid w:val="217F2CBD"/>
    <w:rsid w:val="21882C92"/>
    <w:rsid w:val="218A0326"/>
    <w:rsid w:val="218B2922"/>
    <w:rsid w:val="218B5863"/>
    <w:rsid w:val="21963AE9"/>
    <w:rsid w:val="219648AE"/>
    <w:rsid w:val="219926C2"/>
    <w:rsid w:val="219E74D9"/>
    <w:rsid w:val="21A566B8"/>
    <w:rsid w:val="21B92386"/>
    <w:rsid w:val="21BA3719"/>
    <w:rsid w:val="21C97C4E"/>
    <w:rsid w:val="21CC6790"/>
    <w:rsid w:val="21CD469C"/>
    <w:rsid w:val="21D0353B"/>
    <w:rsid w:val="21D33ED7"/>
    <w:rsid w:val="21D67612"/>
    <w:rsid w:val="21D71CCE"/>
    <w:rsid w:val="21DB194C"/>
    <w:rsid w:val="21E7264A"/>
    <w:rsid w:val="21EC11B4"/>
    <w:rsid w:val="21F139D9"/>
    <w:rsid w:val="21F30462"/>
    <w:rsid w:val="21F75252"/>
    <w:rsid w:val="21FC15A7"/>
    <w:rsid w:val="22031FA0"/>
    <w:rsid w:val="22063857"/>
    <w:rsid w:val="2213278F"/>
    <w:rsid w:val="221E5A89"/>
    <w:rsid w:val="221F7065"/>
    <w:rsid w:val="22243C81"/>
    <w:rsid w:val="22243ED5"/>
    <w:rsid w:val="22286F61"/>
    <w:rsid w:val="222872FE"/>
    <w:rsid w:val="223B79DE"/>
    <w:rsid w:val="223C0908"/>
    <w:rsid w:val="223C4340"/>
    <w:rsid w:val="223E4404"/>
    <w:rsid w:val="224743F4"/>
    <w:rsid w:val="224806EA"/>
    <w:rsid w:val="22486CA4"/>
    <w:rsid w:val="224B142B"/>
    <w:rsid w:val="224B437A"/>
    <w:rsid w:val="224C7F8D"/>
    <w:rsid w:val="224D0D69"/>
    <w:rsid w:val="226043E2"/>
    <w:rsid w:val="22685079"/>
    <w:rsid w:val="226D4D0D"/>
    <w:rsid w:val="227136AF"/>
    <w:rsid w:val="22724578"/>
    <w:rsid w:val="2275111C"/>
    <w:rsid w:val="228A2F14"/>
    <w:rsid w:val="2290426C"/>
    <w:rsid w:val="229079F8"/>
    <w:rsid w:val="2293599A"/>
    <w:rsid w:val="229D196F"/>
    <w:rsid w:val="229F7E9D"/>
    <w:rsid w:val="22A91330"/>
    <w:rsid w:val="22B34785"/>
    <w:rsid w:val="22B45A21"/>
    <w:rsid w:val="22B57254"/>
    <w:rsid w:val="22B93637"/>
    <w:rsid w:val="22CA26FF"/>
    <w:rsid w:val="22CD1128"/>
    <w:rsid w:val="22D04F77"/>
    <w:rsid w:val="22D11961"/>
    <w:rsid w:val="22EA4A87"/>
    <w:rsid w:val="22EB63B4"/>
    <w:rsid w:val="22F149E7"/>
    <w:rsid w:val="22F32BD7"/>
    <w:rsid w:val="22FC358E"/>
    <w:rsid w:val="230447D7"/>
    <w:rsid w:val="23090412"/>
    <w:rsid w:val="230E0B39"/>
    <w:rsid w:val="2312620E"/>
    <w:rsid w:val="23151BBD"/>
    <w:rsid w:val="231656BD"/>
    <w:rsid w:val="232064A5"/>
    <w:rsid w:val="232A5F2C"/>
    <w:rsid w:val="233D1563"/>
    <w:rsid w:val="234902A8"/>
    <w:rsid w:val="234A49FF"/>
    <w:rsid w:val="2352170F"/>
    <w:rsid w:val="23533331"/>
    <w:rsid w:val="23537622"/>
    <w:rsid w:val="23664B47"/>
    <w:rsid w:val="236739BC"/>
    <w:rsid w:val="23720999"/>
    <w:rsid w:val="23776B31"/>
    <w:rsid w:val="237E0DFB"/>
    <w:rsid w:val="237E376D"/>
    <w:rsid w:val="237E7F63"/>
    <w:rsid w:val="238137B5"/>
    <w:rsid w:val="238718C4"/>
    <w:rsid w:val="238C26AF"/>
    <w:rsid w:val="238D75AB"/>
    <w:rsid w:val="238E55FD"/>
    <w:rsid w:val="23907B5D"/>
    <w:rsid w:val="23A60BED"/>
    <w:rsid w:val="23AF20CF"/>
    <w:rsid w:val="23B9614D"/>
    <w:rsid w:val="23BE0C34"/>
    <w:rsid w:val="23CE4555"/>
    <w:rsid w:val="23D1141C"/>
    <w:rsid w:val="23D225D9"/>
    <w:rsid w:val="23D46A7C"/>
    <w:rsid w:val="23E87A4A"/>
    <w:rsid w:val="23EE567F"/>
    <w:rsid w:val="23FE39DA"/>
    <w:rsid w:val="2400265A"/>
    <w:rsid w:val="24071095"/>
    <w:rsid w:val="2409287D"/>
    <w:rsid w:val="24195F89"/>
    <w:rsid w:val="241B4EFA"/>
    <w:rsid w:val="241B54FA"/>
    <w:rsid w:val="241D0D6D"/>
    <w:rsid w:val="241D60D7"/>
    <w:rsid w:val="2422724B"/>
    <w:rsid w:val="2424421C"/>
    <w:rsid w:val="2425021A"/>
    <w:rsid w:val="242B3B37"/>
    <w:rsid w:val="242E2909"/>
    <w:rsid w:val="243708A0"/>
    <w:rsid w:val="243E3B80"/>
    <w:rsid w:val="245B7134"/>
    <w:rsid w:val="245E2B2F"/>
    <w:rsid w:val="246267A1"/>
    <w:rsid w:val="246F1B15"/>
    <w:rsid w:val="24740B69"/>
    <w:rsid w:val="24826549"/>
    <w:rsid w:val="24840FA8"/>
    <w:rsid w:val="2485277B"/>
    <w:rsid w:val="248875EB"/>
    <w:rsid w:val="248A707D"/>
    <w:rsid w:val="248D34D7"/>
    <w:rsid w:val="248F2AEF"/>
    <w:rsid w:val="248F38BD"/>
    <w:rsid w:val="2492033C"/>
    <w:rsid w:val="249D3DA9"/>
    <w:rsid w:val="24A041EF"/>
    <w:rsid w:val="24A31DCE"/>
    <w:rsid w:val="24AC1C41"/>
    <w:rsid w:val="24AD6B35"/>
    <w:rsid w:val="24B13323"/>
    <w:rsid w:val="24B23E7F"/>
    <w:rsid w:val="24C6327F"/>
    <w:rsid w:val="24D651F6"/>
    <w:rsid w:val="24D834E8"/>
    <w:rsid w:val="24DF1000"/>
    <w:rsid w:val="24DF4593"/>
    <w:rsid w:val="24E73577"/>
    <w:rsid w:val="24EA2AB5"/>
    <w:rsid w:val="24FD2B02"/>
    <w:rsid w:val="25024CF1"/>
    <w:rsid w:val="250A3422"/>
    <w:rsid w:val="25112921"/>
    <w:rsid w:val="25153A7B"/>
    <w:rsid w:val="251B4C7B"/>
    <w:rsid w:val="251B7C63"/>
    <w:rsid w:val="252048F7"/>
    <w:rsid w:val="25233C8F"/>
    <w:rsid w:val="252D2460"/>
    <w:rsid w:val="252F41B5"/>
    <w:rsid w:val="253E482D"/>
    <w:rsid w:val="25415276"/>
    <w:rsid w:val="25443395"/>
    <w:rsid w:val="25480684"/>
    <w:rsid w:val="254B11E9"/>
    <w:rsid w:val="25512198"/>
    <w:rsid w:val="255514A1"/>
    <w:rsid w:val="255B270A"/>
    <w:rsid w:val="255B6449"/>
    <w:rsid w:val="255D6517"/>
    <w:rsid w:val="258007D6"/>
    <w:rsid w:val="2583213A"/>
    <w:rsid w:val="25850210"/>
    <w:rsid w:val="25892068"/>
    <w:rsid w:val="25930EC9"/>
    <w:rsid w:val="25A11982"/>
    <w:rsid w:val="25A12035"/>
    <w:rsid w:val="25A534F7"/>
    <w:rsid w:val="25B40894"/>
    <w:rsid w:val="25C1645F"/>
    <w:rsid w:val="25C54356"/>
    <w:rsid w:val="25CD3F0D"/>
    <w:rsid w:val="25D80A4D"/>
    <w:rsid w:val="25F92FDB"/>
    <w:rsid w:val="26001A57"/>
    <w:rsid w:val="26022936"/>
    <w:rsid w:val="26095F44"/>
    <w:rsid w:val="260E1E6F"/>
    <w:rsid w:val="26102160"/>
    <w:rsid w:val="26185C91"/>
    <w:rsid w:val="26212B25"/>
    <w:rsid w:val="26224CFD"/>
    <w:rsid w:val="26272CF0"/>
    <w:rsid w:val="263142D4"/>
    <w:rsid w:val="26447916"/>
    <w:rsid w:val="26466D97"/>
    <w:rsid w:val="264C18F0"/>
    <w:rsid w:val="2658645A"/>
    <w:rsid w:val="265E0639"/>
    <w:rsid w:val="266866BD"/>
    <w:rsid w:val="26696824"/>
    <w:rsid w:val="266C42F7"/>
    <w:rsid w:val="267109C3"/>
    <w:rsid w:val="267365C7"/>
    <w:rsid w:val="26832CAB"/>
    <w:rsid w:val="26883D3D"/>
    <w:rsid w:val="268A5924"/>
    <w:rsid w:val="26920A09"/>
    <w:rsid w:val="26972C43"/>
    <w:rsid w:val="269C5F7A"/>
    <w:rsid w:val="26A31DA5"/>
    <w:rsid w:val="26A54795"/>
    <w:rsid w:val="26AC6EB4"/>
    <w:rsid w:val="26B650E7"/>
    <w:rsid w:val="26C13728"/>
    <w:rsid w:val="26CB7903"/>
    <w:rsid w:val="26D11F9C"/>
    <w:rsid w:val="26D771E7"/>
    <w:rsid w:val="26E328AB"/>
    <w:rsid w:val="26E66172"/>
    <w:rsid w:val="26ED2E1C"/>
    <w:rsid w:val="26EF6891"/>
    <w:rsid w:val="26F451AC"/>
    <w:rsid w:val="26F9682C"/>
    <w:rsid w:val="27064754"/>
    <w:rsid w:val="270F28F1"/>
    <w:rsid w:val="2710057C"/>
    <w:rsid w:val="271313BF"/>
    <w:rsid w:val="2718683F"/>
    <w:rsid w:val="27190AE2"/>
    <w:rsid w:val="27194518"/>
    <w:rsid w:val="2728538E"/>
    <w:rsid w:val="272B2152"/>
    <w:rsid w:val="272F28E5"/>
    <w:rsid w:val="273573C9"/>
    <w:rsid w:val="273B7BF7"/>
    <w:rsid w:val="273E000B"/>
    <w:rsid w:val="274067A8"/>
    <w:rsid w:val="27570C8A"/>
    <w:rsid w:val="275A49BC"/>
    <w:rsid w:val="275C1141"/>
    <w:rsid w:val="276023AE"/>
    <w:rsid w:val="27685C29"/>
    <w:rsid w:val="276E5922"/>
    <w:rsid w:val="276E5D6B"/>
    <w:rsid w:val="276F6AD9"/>
    <w:rsid w:val="277A1023"/>
    <w:rsid w:val="277C70AE"/>
    <w:rsid w:val="27842D84"/>
    <w:rsid w:val="278630A6"/>
    <w:rsid w:val="2786663F"/>
    <w:rsid w:val="278D68F4"/>
    <w:rsid w:val="279E376F"/>
    <w:rsid w:val="27B14147"/>
    <w:rsid w:val="27B947C2"/>
    <w:rsid w:val="27BA2CFE"/>
    <w:rsid w:val="27C83C28"/>
    <w:rsid w:val="27CA2384"/>
    <w:rsid w:val="27CB1A6E"/>
    <w:rsid w:val="27DB36C2"/>
    <w:rsid w:val="27DB4429"/>
    <w:rsid w:val="27DC5F08"/>
    <w:rsid w:val="27E10BAD"/>
    <w:rsid w:val="27F47DDC"/>
    <w:rsid w:val="27F77F06"/>
    <w:rsid w:val="28052235"/>
    <w:rsid w:val="280E4F74"/>
    <w:rsid w:val="281430C3"/>
    <w:rsid w:val="28152F24"/>
    <w:rsid w:val="281671B7"/>
    <w:rsid w:val="281937D4"/>
    <w:rsid w:val="281E3EAE"/>
    <w:rsid w:val="2831720F"/>
    <w:rsid w:val="283807DD"/>
    <w:rsid w:val="28395805"/>
    <w:rsid w:val="283E43E2"/>
    <w:rsid w:val="28425519"/>
    <w:rsid w:val="28476BAD"/>
    <w:rsid w:val="284B604A"/>
    <w:rsid w:val="284C01CF"/>
    <w:rsid w:val="285C4624"/>
    <w:rsid w:val="285D13A9"/>
    <w:rsid w:val="28604C66"/>
    <w:rsid w:val="28621496"/>
    <w:rsid w:val="28621C06"/>
    <w:rsid w:val="286A55E2"/>
    <w:rsid w:val="28785CF0"/>
    <w:rsid w:val="287B7FC5"/>
    <w:rsid w:val="2880449B"/>
    <w:rsid w:val="28814305"/>
    <w:rsid w:val="288716E4"/>
    <w:rsid w:val="289813BC"/>
    <w:rsid w:val="28996307"/>
    <w:rsid w:val="28A742C0"/>
    <w:rsid w:val="28AC18B0"/>
    <w:rsid w:val="28B16BAC"/>
    <w:rsid w:val="28B222C6"/>
    <w:rsid w:val="28B50158"/>
    <w:rsid w:val="28B8678F"/>
    <w:rsid w:val="28B871C7"/>
    <w:rsid w:val="28BC08CE"/>
    <w:rsid w:val="28C50ADD"/>
    <w:rsid w:val="28C572C2"/>
    <w:rsid w:val="28CF2CCD"/>
    <w:rsid w:val="28D334D0"/>
    <w:rsid w:val="28D701CA"/>
    <w:rsid w:val="28EB5815"/>
    <w:rsid w:val="28F905BC"/>
    <w:rsid w:val="28FA5BE1"/>
    <w:rsid w:val="28FE72F6"/>
    <w:rsid w:val="290B0EE3"/>
    <w:rsid w:val="290B3ADD"/>
    <w:rsid w:val="29142CA1"/>
    <w:rsid w:val="291869D6"/>
    <w:rsid w:val="292168FB"/>
    <w:rsid w:val="29224C33"/>
    <w:rsid w:val="292322DB"/>
    <w:rsid w:val="29242AD0"/>
    <w:rsid w:val="29251C92"/>
    <w:rsid w:val="29264379"/>
    <w:rsid w:val="29267950"/>
    <w:rsid w:val="292A1553"/>
    <w:rsid w:val="29322A77"/>
    <w:rsid w:val="29352E7A"/>
    <w:rsid w:val="29381EBF"/>
    <w:rsid w:val="293D52E6"/>
    <w:rsid w:val="293F7127"/>
    <w:rsid w:val="29415D74"/>
    <w:rsid w:val="29421129"/>
    <w:rsid w:val="29421D49"/>
    <w:rsid w:val="295340DD"/>
    <w:rsid w:val="2954117E"/>
    <w:rsid w:val="295B0F1F"/>
    <w:rsid w:val="295B3C3E"/>
    <w:rsid w:val="295B72FD"/>
    <w:rsid w:val="295D4345"/>
    <w:rsid w:val="29647AAD"/>
    <w:rsid w:val="29673F29"/>
    <w:rsid w:val="296854E7"/>
    <w:rsid w:val="296D615D"/>
    <w:rsid w:val="296E145D"/>
    <w:rsid w:val="29703F71"/>
    <w:rsid w:val="29705FD0"/>
    <w:rsid w:val="297100DE"/>
    <w:rsid w:val="29717FD9"/>
    <w:rsid w:val="297A51BC"/>
    <w:rsid w:val="298D58DE"/>
    <w:rsid w:val="298E480D"/>
    <w:rsid w:val="29996A15"/>
    <w:rsid w:val="299D603F"/>
    <w:rsid w:val="29A50346"/>
    <w:rsid w:val="29A67D77"/>
    <w:rsid w:val="29A9096D"/>
    <w:rsid w:val="29AF386B"/>
    <w:rsid w:val="29B80C0D"/>
    <w:rsid w:val="29BE1101"/>
    <w:rsid w:val="29BE7967"/>
    <w:rsid w:val="29C73BD0"/>
    <w:rsid w:val="29D41A2D"/>
    <w:rsid w:val="29D977D0"/>
    <w:rsid w:val="29DC0DAD"/>
    <w:rsid w:val="29F31B60"/>
    <w:rsid w:val="29F824DB"/>
    <w:rsid w:val="29FD3CFC"/>
    <w:rsid w:val="29FF2DEE"/>
    <w:rsid w:val="2A005B3E"/>
    <w:rsid w:val="2A010675"/>
    <w:rsid w:val="2A016D95"/>
    <w:rsid w:val="2A0555DF"/>
    <w:rsid w:val="2A074829"/>
    <w:rsid w:val="2A0C2986"/>
    <w:rsid w:val="2A1005E9"/>
    <w:rsid w:val="2A164EBF"/>
    <w:rsid w:val="2A1C1164"/>
    <w:rsid w:val="2A203DF6"/>
    <w:rsid w:val="2A377D60"/>
    <w:rsid w:val="2A3D2220"/>
    <w:rsid w:val="2A3D2A8E"/>
    <w:rsid w:val="2A3F3F79"/>
    <w:rsid w:val="2A460ABD"/>
    <w:rsid w:val="2A46740F"/>
    <w:rsid w:val="2A483EE6"/>
    <w:rsid w:val="2A55053C"/>
    <w:rsid w:val="2A612E01"/>
    <w:rsid w:val="2A63047F"/>
    <w:rsid w:val="2A6625BB"/>
    <w:rsid w:val="2A692B6B"/>
    <w:rsid w:val="2A6F665D"/>
    <w:rsid w:val="2A731F12"/>
    <w:rsid w:val="2A7B1A6A"/>
    <w:rsid w:val="2A814925"/>
    <w:rsid w:val="2A872042"/>
    <w:rsid w:val="2A92587C"/>
    <w:rsid w:val="2A9C78F2"/>
    <w:rsid w:val="2AA10152"/>
    <w:rsid w:val="2AA26DDA"/>
    <w:rsid w:val="2AA71F23"/>
    <w:rsid w:val="2AA824F5"/>
    <w:rsid w:val="2AAB2808"/>
    <w:rsid w:val="2AB17574"/>
    <w:rsid w:val="2AB87157"/>
    <w:rsid w:val="2ABA6525"/>
    <w:rsid w:val="2AC37705"/>
    <w:rsid w:val="2AC50668"/>
    <w:rsid w:val="2ACD11D1"/>
    <w:rsid w:val="2AD212BC"/>
    <w:rsid w:val="2AD35375"/>
    <w:rsid w:val="2AE145BA"/>
    <w:rsid w:val="2AE62A58"/>
    <w:rsid w:val="2AF24DF1"/>
    <w:rsid w:val="2AF26A9A"/>
    <w:rsid w:val="2AF3475D"/>
    <w:rsid w:val="2AF81ECB"/>
    <w:rsid w:val="2AF87E90"/>
    <w:rsid w:val="2AFE3546"/>
    <w:rsid w:val="2AFF1DEE"/>
    <w:rsid w:val="2B030144"/>
    <w:rsid w:val="2B040C44"/>
    <w:rsid w:val="2B0C1692"/>
    <w:rsid w:val="2B0E023E"/>
    <w:rsid w:val="2B0F327D"/>
    <w:rsid w:val="2B1012C1"/>
    <w:rsid w:val="2B181E15"/>
    <w:rsid w:val="2B181FB9"/>
    <w:rsid w:val="2B1D5E9C"/>
    <w:rsid w:val="2B1F7E02"/>
    <w:rsid w:val="2B221CE8"/>
    <w:rsid w:val="2B243409"/>
    <w:rsid w:val="2B275FA7"/>
    <w:rsid w:val="2B310AA4"/>
    <w:rsid w:val="2B337F99"/>
    <w:rsid w:val="2B342A4F"/>
    <w:rsid w:val="2B34404C"/>
    <w:rsid w:val="2B363744"/>
    <w:rsid w:val="2B433F5A"/>
    <w:rsid w:val="2B4C5769"/>
    <w:rsid w:val="2B503BE9"/>
    <w:rsid w:val="2B512E76"/>
    <w:rsid w:val="2B554BD0"/>
    <w:rsid w:val="2B564437"/>
    <w:rsid w:val="2B566E76"/>
    <w:rsid w:val="2B5D4286"/>
    <w:rsid w:val="2B622D11"/>
    <w:rsid w:val="2B6241D0"/>
    <w:rsid w:val="2B6635C4"/>
    <w:rsid w:val="2B6772C7"/>
    <w:rsid w:val="2B7327A0"/>
    <w:rsid w:val="2B7B3555"/>
    <w:rsid w:val="2B985EDD"/>
    <w:rsid w:val="2B9E1E19"/>
    <w:rsid w:val="2B9E52B7"/>
    <w:rsid w:val="2BA63509"/>
    <w:rsid w:val="2BBC1803"/>
    <w:rsid w:val="2BBC30D4"/>
    <w:rsid w:val="2BC37AF5"/>
    <w:rsid w:val="2BCA2615"/>
    <w:rsid w:val="2BCD5BB3"/>
    <w:rsid w:val="2BCE12ED"/>
    <w:rsid w:val="2BCE5522"/>
    <w:rsid w:val="2BD348BC"/>
    <w:rsid w:val="2BD82758"/>
    <w:rsid w:val="2BDD6F57"/>
    <w:rsid w:val="2BE155CA"/>
    <w:rsid w:val="2BE36359"/>
    <w:rsid w:val="2BEA35FC"/>
    <w:rsid w:val="2BF777A5"/>
    <w:rsid w:val="2BFB0B13"/>
    <w:rsid w:val="2C087618"/>
    <w:rsid w:val="2C230952"/>
    <w:rsid w:val="2C235F5A"/>
    <w:rsid w:val="2C312F59"/>
    <w:rsid w:val="2C343D09"/>
    <w:rsid w:val="2C421A9D"/>
    <w:rsid w:val="2C4334A3"/>
    <w:rsid w:val="2C4C69A7"/>
    <w:rsid w:val="2C4D4D46"/>
    <w:rsid w:val="2C5E5584"/>
    <w:rsid w:val="2C686023"/>
    <w:rsid w:val="2C6A47AD"/>
    <w:rsid w:val="2C6C33C4"/>
    <w:rsid w:val="2C757714"/>
    <w:rsid w:val="2C7D09EA"/>
    <w:rsid w:val="2C824963"/>
    <w:rsid w:val="2C8732B9"/>
    <w:rsid w:val="2C8766FB"/>
    <w:rsid w:val="2C907E61"/>
    <w:rsid w:val="2C9B65C3"/>
    <w:rsid w:val="2CB266D0"/>
    <w:rsid w:val="2CBD7757"/>
    <w:rsid w:val="2CC44E07"/>
    <w:rsid w:val="2CC569CB"/>
    <w:rsid w:val="2CC57D25"/>
    <w:rsid w:val="2CC74803"/>
    <w:rsid w:val="2CCE1CF6"/>
    <w:rsid w:val="2CDC2F5B"/>
    <w:rsid w:val="2CE80337"/>
    <w:rsid w:val="2CEB5CD0"/>
    <w:rsid w:val="2CFF0B4C"/>
    <w:rsid w:val="2D1929EF"/>
    <w:rsid w:val="2D1E36F5"/>
    <w:rsid w:val="2D21120D"/>
    <w:rsid w:val="2D253B2D"/>
    <w:rsid w:val="2D2E00AD"/>
    <w:rsid w:val="2D2F3586"/>
    <w:rsid w:val="2D317FAA"/>
    <w:rsid w:val="2D39472D"/>
    <w:rsid w:val="2D403856"/>
    <w:rsid w:val="2D416197"/>
    <w:rsid w:val="2D4C0E52"/>
    <w:rsid w:val="2D4C5395"/>
    <w:rsid w:val="2D533456"/>
    <w:rsid w:val="2D5809C0"/>
    <w:rsid w:val="2D5A244E"/>
    <w:rsid w:val="2D5A588C"/>
    <w:rsid w:val="2D61455F"/>
    <w:rsid w:val="2D623805"/>
    <w:rsid w:val="2D696061"/>
    <w:rsid w:val="2D6C407C"/>
    <w:rsid w:val="2D6D3CA2"/>
    <w:rsid w:val="2D781D43"/>
    <w:rsid w:val="2D7D7121"/>
    <w:rsid w:val="2D854A69"/>
    <w:rsid w:val="2D9531A4"/>
    <w:rsid w:val="2D9800FD"/>
    <w:rsid w:val="2DA67BF0"/>
    <w:rsid w:val="2DA74F81"/>
    <w:rsid w:val="2DAB42E1"/>
    <w:rsid w:val="2DAD1393"/>
    <w:rsid w:val="2DB26597"/>
    <w:rsid w:val="2DB32801"/>
    <w:rsid w:val="2DB37D51"/>
    <w:rsid w:val="2DB5614E"/>
    <w:rsid w:val="2DC72741"/>
    <w:rsid w:val="2DCB194C"/>
    <w:rsid w:val="2DD2187B"/>
    <w:rsid w:val="2DD26168"/>
    <w:rsid w:val="2DD66EDF"/>
    <w:rsid w:val="2DDB577B"/>
    <w:rsid w:val="2DDF642E"/>
    <w:rsid w:val="2DE163DE"/>
    <w:rsid w:val="2DE32A97"/>
    <w:rsid w:val="2DE67BB7"/>
    <w:rsid w:val="2DE7057C"/>
    <w:rsid w:val="2DF03380"/>
    <w:rsid w:val="2DF11230"/>
    <w:rsid w:val="2DF635D7"/>
    <w:rsid w:val="2E015C91"/>
    <w:rsid w:val="2E056DE4"/>
    <w:rsid w:val="2E066EF7"/>
    <w:rsid w:val="2E0901D2"/>
    <w:rsid w:val="2E0E67AA"/>
    <w:rsid w:val="2E0F15E2"/>
    <w:rsid w:val="2E1515EA"/>
    <w:rsid w:val="2E19195B"/>
    <w:rsid w:val="2E196254"/>
    <w:rsid w:val="2E1D52BE"/>
    <w:rsid w:val="2E1E261C"/>
    <w:rsid w:val="2E1F429B"/>
    <w:rsid w:val="2E203718"/>
    <w:rsid w:val="2E234CF1"/>
    <w:rsid w:val="2E2746AE"/>
    <w:rsid w:val="2E2C6D07"/>
    <w:rsid w:val="2E2F6083"/>
    <w:rsid w:val="2E386B7E"/>
    <w:rsid w:val="2E454D2B"/>
    <w:rsid w:val="2E4868E5"/>
    <w:rsid w:val="2E4C2920"/>
    <w:rsid w:val="2E504673"/>
    <w:rsid w:val="2E572CC0"/>
    <w:rsid w:val="2E5A46D2"/>
    <w:rsid w:val="2E5B2C7A"/>
    <w:rsid w:val="2E5D6F7C"/>
    <w:rsid w:val="2E637428"/>
    <w:rsid w:val="2E7D6CDA"/>
    <w:rsid w:val="2E92226C"/>
    <w:rsid w:val="2E925C3A"/>
    <w:rsid w:val="2E971D88"/>
    <w:rsid w:val="2EA13F74"/>
    <w:rsid w:val="2EA615EC"/>
    <w:rsid w:val="2EAF591E"/>
    <w:rsid w:val="2EB005F7"/>
    <w:rsid w:val="2EB14523"/>
    <w:rsid w:val="2EB4131B"/>
    <w:rsid w:val="2EB4637D"/>
    <w:rsid w:val="2EB5032D"/>
    <w:rsid w:val="2ECB1753"/>
    <w:rsid w:val="2ECD0B00"/>
    <w:rsid w:val="2ED42187"/>
    <w:rsid w:val="2ED75D64"/>
    <w:rsid w:val="2EDB1B05"/>
    <w:rsid w:val="2EDE6E27"/>
    <w:rsid w:val="2EE124DD"/>
    <w:rsid w:val="2EE70CD5"/>
    <w:rsid w:val="2EEF4A6B"/>
    <w:rsid w:val="2EFA4752"/>
    <w:rsid w:val="2EFA605F"/>
    <w:rsid w:val="2F0D112B"/>
    <w:rsid w:val="2F180572"/>
    <w:rsid w:val="2F2A5259"/>
    <w:rsid w:val="2F2B15E5"/>
    <w:rsid w:val="2F3A54E2"/>
    <w:rsid w:val="2F413369"/>
    <w:rsid w:val="2F424E79"/>
    <w:rsid w:val="2F4F5EEC"/>
    <w:rsid w:val="2F525F81"/>
    <w:rsid w:val="2F5551FE"/>
    <w:rsid w:val="2F57119C"/>
    <w:rsid w:val="2F6126A2"/>
    <w:rsid w:val="2F657E18"/>
    <w:rsid w:val="2F6615FD"/>
    <w:rsid w:val="2F6F1349"/>
    <w:rsid w:val="2F744B63"/>
    <w:rsid w:val="2F7F3437"/>
    <w:rsid w:val="2F817DD0"/>
    <w:rsid w:val="2F825648"/>
    <w:rsid w:val="2F8B1796"/>
    <w:rsid w:val="2F9B6578"/>
    <w:rsid w:val="2F9F4AF8"/>
    <w:rsid w:val="2FAB236E"/>
    <w:rsid w:val="2FAB7AE6"/>
    <w:rsid w:val="2FB02F2E"/>
    <w:rsid w:val="2FB55A5C"/>
    <w:rsid w:val="2FB7706E"/>
    <w:rsid w:val="2FBF204A"/>
    <w:rsid w:val="2FC0107B"/>
    <w:rsid w:val="2FD804D0"/>
    <w:rsid w:val="2FED5079"/>
    <w:rsid w:val="2FF51385"/>
    <w:rsid w:val="2FFE0E4A"/>
    <w:rsid w:val="30032FEE"/>
    <w:rsid w:val="300635B2"/>
    <w:rsid w:val="300D11EE"/>
    <w:rsid w:val="300F2D5A"/>
    <w:rsid w:val="30133DFE"/>
    <w:rsid w:val="30214C7E"/>
    <w:rsid w:val="30216F0F"/>
    <w:rsid w:val="302A51D3"/>
    <w:rsid w:val="302F6ADD"/>
    <w:rsid w:val="303111C7"/>
    <w:rsid w:val="3040453B"/>
    <w:rsid w:val="3042487F"/>
    <w:rsid w:val="304B3B90"/>
    <w:rsid w:val="304D5D1A"/>
    <w:rsid w:val="304F6507"/>
    <w:rsid w:val="305B6E73"/>
    <w:rsid w:val="305E79BD"/>
    <w:rsid w:val="30624751"/>
    <w:rsid w:val="30772F04"/>
    <w:rsid w:val="307F157A"/>
    <w:rsid w:val="3081657F"/>
    <w:rsid w:val="308517DF"/>
    <w:rsid w:val="30952B52"/>
    <w:rsid w:val="309644BB"/>
    <w:rsid w:val="309E55A3"/>
    <w:rsid w:val="30A64A4F"/>
    <w:rsid w:val="30B31354"/>
    <w:rsid w:val="30B31546"/>
    <w:rsid w:val="30CD648E"/>
    <w:rsid w:val="30D04363"/>
    <w:rsid w:val="30D51325"/>
    <w:rsid w:val="30DC47F8"/>
    <w:rsid w:val="30E27D7F"/>
    <w:rsid w:val="30E92225"/>
    <w:rsid w:val="30F00D6B"/>
    <w:rsid w:val="30F33D98"/>
    <w:rsid w:val="30F8588A"/>
    <w:rsid w:val="30F91599"/>
    <w:rsid w:val="30FD18B7"/>
    <w:rsid w:val="31067B82"/>
    <w:rsid w:val="31073C5C"/>
    <w:rsid w:val="31085738"/>
    <w:rsid w:val="311338D2"/>
    <w:rsid w:val="311A2DCB"/>
    <w:rsid w:val="3120726A"/>
    <w:rsid w:val="31216F9E"/>
    <w:rsid w:val="31223AD7"/>
    <w:rsid w:val="312C5F7B"/>
    <w:rsid w:val="312F02FC"/>
    <w:rsid w:val="312F75C1"/>
    <w:rsid w:val="31366F42"/>
    <w:rsid w:val="313C7BC6"/>
    <w:rsid w:val="313F752D"/>
    <w:rsid w:val="314F79D9"/>
    <w:rsid w:val="31594E3D"/>
    <w:rsid w:val="317B6247"/>
    <w:rsid w:val="3184584E"/>
    <w:rsid w:val="31890AFA"/>
    <w:rsid w:val="31942C78"/>
    <w:rsid w:val="319C3DAC"/>
    <w:rsid w:val="31B575A2"/>
    <w:rsid w:val="31C95CA6"/>
    <w:rsid w:val="31DC5EF9"/>
    <w:rsid w:val="31E159BF"/>
    <w:rsid w:val="31E24EE0"/>
    <w:rsid w:val="31E27622"/>
    <w:rsid w:val="31E31A45"/>
    <w:rsid w:val="31EC1BD8"/>
    <w:rsid w:val="31EE1B5E"/>
    <w:rsid w:val="31EF1C4D"/>
    <w:rsid w:val="31F95C2B"/>
    <w:rsid w:val="32006D33"/>
    <w:rsid w:val="3200741C"/>
    <w:rsid w:val="321D6B3D"/>
    <w:rsid w:val="32270B61"/>
    <w:rsid w:val="323C01F3"/>
    <w:rsid w:val="323E51C2"/>
    <w:rsid w:val="32400044"/>
    <w:rsid w:val="324E605E"/>
    <w:rsid w:val="32563927"/>
    <w:rsid w:val="32571D2F"/>
    <w:rsid w:val="325B13BD"/>
    <w:rsid w:val="326043A6"/>
    <w:rsid w:val="326052C1"/>
    <w:rsid w:val="32644F9E"/>
    <w:rsid w:val="326B0BAF"/>
    <w:rsid w:val="326D408F"/>
    <w:rsid w:val="32764D1D"/>
    <w:rsid w:val="327821A3"/>
    <w:rsid w:val="32803219"/>
    <w:rsid w:val="32844B47"/>
    <w:rsid w:val="3287415E"/>
    <w:rsid w:val="3288180B"/>
    <w:rsid w:val="32950BB8"/>
    <w:rsid w:val="329C01A6"/>
    <w:rsid w:val="32AC064F"/>
    <w:rsid w:val="32B71D0C"/>
    <w:rsid w:val="32CF1323"/>
    <w:rsid w:val="32D23AA1"/>
    <w:rsid w:val="32E7237C"/>
    <w:rsid w:val="32E85EB6"/>
    <w:rsid w:val="32E94CD8"/>
    <w:rsid w:val="32F47A86"/>
    <w:rsid w:val="32F71E7D"/>
    <w:rsid w:val="32FA4E00"/>
    <w:rsid w:val="33097FCB"/>
    <w:rsid w:val="330F07F9"/>
    <w:rsid w:val="331E1AA2"/>
    <w:rsid w:val="3321374F"/>
    <w:rsid w:val="33236153"/>
    <w:rsid w:val="3325361E"/>
    <w:rsid w:val="332C6DB4"/>
    <w:rsid w:val="333971B7"/>
    <w:rsid w:val="33407A22"/>
    <w:rsid w:val="3343097A"/>
    <w:rsid w:val="33456712"/>
    <w:rsid w:val="334E2BBC"/>
    <w:rsid w:val="335D4867"/>
    <w:rsid w:val="33684AED"/>
    <w:rsid w:val="33753B52"/>
    <w:rsid w:val="337E41F5"/>
    <w:rsid w:val="337E5775"/>
    <w:rsid w:val="33963396"/>
    <w:rsid w:val="33964A3D"/>
    <w:rsid w:val="339B4BA5"/>
    <w:rsid w:val="339D6926"/>
    <w:rsid w:val="33AA70D5"/>
    <w:rsid w:val="33AC4EA2"/>
    <w:rsid w:val="33AF031D"/>
    <w:rsid w:val="33BC761E"/>
    <w:rsid w:val="33BF6CBC"/>
    <w:rsid w:val="33C51F7C"/>
    <w:rsid w:val="33C55696"/>
    <w:rsid w:val="33C6266D"/>
    <w:rsid w:val="33D2644C"/>
    <w:rsid w:val="33D3287C"/>
    <w:rsid w:val="33D81A4C"/>
    <w:rsid w:val="33DF4467"/>
    <w:rsid w:val="33E6320C"/>
    <w:rsid w:val="33F067C7"/>
    <w:rsid w:val="33F61B34"/>
    <w:rsid w:val="33FC5728"/>
    <w:rsid w:val="340636B9"/>
    <w:rsid w:val="34086B9E"/>
    <w:rsid w:val="340E5821"/>
    <w:rsid w:val="34100C1C"/>
    <w:rsid w:val="341823FA"/>
    <w:rsid w:val="3424694F"/>
    <w:rsid w:val="342F6D32"/>
    <w:rsid w:val="34313C29"/>
    <w:rsid w:val="3442587D"/>
    <w:rsid w:val="34492CC5"/>
    <w:rsid w:val="34516FC2"/>
    <w:rsid w:val="34552F38"/>
    <w:rsid w:val="34555684"/>
    <w:rsid w:val="34627756"/>
    <w:rsid w:val="34660FB4"/>
    <w:rsid w:val="346849FC"/>
    <w:rsid w:val="3469733F"/>
    <w:rsid w:val="346D6B6C"/>
    <w:rsid w:val="346F196C"/>
    <w:rsid w:val="34820B69"/>
    <w:rsid w:val="34921202"/>
    <w:rsid w:val="349708C1"/>
    <w:rsid w:val="34974D2D"/>
    <w:rsid w:val="34A01296"/>
    <w:rsid w:val="34A72BC4"/>
    <w:rsid w:val="34AD636D"/>
    <w:rsid w:val="34B25048"/>
    <w:rsid w:val="34B51CDB"/>
    <w:rsid w:val="34BC1BA3"/>
    <w:rsid w:val="34D35AEF"/>
    <w:rsid w:val="34D37972"/>
    <w:rsid w:val="34D6123A"/>
    <w:rsid w:val="34DF0767"/>
    <w:rsid w:val="34EF7222"/>
    <w:rsid w:val="34F56CC8"/>
    <w:rsid w:val="34F76022"/>
    <w:rsid w:val="35027278"/>
    <w:rsid w:val="35102D47"/>
    <w:rsid w:val="35194A87"/>
    <w:rsid w:val="352C21B2"/>
    <w:rsid w:val="352C3208"/>
    <w:rsid w:val="353263C6"/>
    <w:rsid w:val="35441378"/>
    <w:rsid w:val="354B0806"/>
    <w:rsid w:val="354C204D"/>
    <w:rsid w:val="35527E03"/>
    <w:rsid w:val="35533710"/>
    <w:rsid w:val="355B6A6F"/>
    <w:rsid w:val="355C6017"/>
    <w:rsid w:val="35616185"/>
    <w:rsid w:val="356C7D73"/>
    <w:rsid w:val="35745580"/>
    <w:rsid w:val="357B35BD"/>
    <w:rsid w:val="357E1639"/>
    <w:rsid w:val="3580005A"/>
    <w:rsid w:val="35834702"/>
    <w:rsid w:val="358A3FFA"/>
    <w:rsid w:val="35952CEE"/>
    <w:rsid w:val="35985892"/>
    <w:rsid w:val="35A437E8"/>
    <w:rsid w:val="35A67C07"/>
    <w:rsid w:val="35AB7710"/>
    <w:rsid w:val="35AF1A13"/>
    <w:rsid w:val="35B5073E"/>
    <w:rsid w:val="35B64FD1"/>
    <w:rsid w:val="35BD4078"/>
    <w:rsid w:val="35BE778C"/>
    <w:rsid w:val="35C36192"/>
    <w:rsid w:val="35CB22BB"/>
    <w:rsid w:val="35CE48BF"/>
    <w:rsid w:val="35D20795"/>
    <w:rsid w:val="35D3331D"/>
    <w:rsid w:val="35DF490C"/>
    <w:rsid w:val="35DF58BF"/>
    <w:rsid w:val="35E4076D"/>
    <w:rsid w:val="35E8647A"/>
    <w:rsid w:val="35E97A7A"/>
    <w:rsid w:val="35F15AE2"/>
    <w:rsid w:val="35F20EA6"/>
    <w:rsid w:val="35F36637"/>
    <w:rsid w:val="35F441D7"/>
    <w:rsid w:val="35F64921"/>
    <w:rsid w:val="35F66BBA"/>
    <w:rsid w:val="36024B29"/>
    <w:rsid w:val="360252AE"/>
    <w:rsid w:val="360F6975"/>
    <w:rsid w:val="36187E47"/>
    <w:rsid w:val="361A0CA4"/>
    <w:rsid w:val="36216BEE"/>
    <w:rsid w:val="362645CD"/>
    <w:rsid w:val="36285816"/>
    <w:rsid w:val="362A457F"/>
    <w:rsid w:val="362B4D6E"/>
    <w:rsid w:val="362C2535"/>
    <w:rsid w:val="364619D3"/>
    <w:rsid w:val="36471A5E"/>
    <w:rsid w:val="364931EB"/>
    <w:rsid w:val="365356EE"/>
    <w:rsid w:val="3667341B"/>
    <w:rsid w:val="36751470"/>
    <w:rsid w:val="367C202B"/>
    <w:rsid w:val="367D7115"/>
    <w:rsid w:val="36826931"/>
    <w:rsid w:val="36834D9B"/>
    <w:rsid w:val="36887E64"/>
    <w:rsid w:val="368A2FB4"/>
    <w:rsid w:val="369124F4"/>
    <w:rsid w:val="36961ED1"/>
    <w:rsid w:val="36A15210"/>
    <w:rsid w:val="36AB4006"/>
    <w:rsid w:val="36AC17C1"/>
    <w:rsid w:val="36B54428"/>
    <w:rsid w:val="36BA5016"/>
    <w:rsid w:val="36BE2266"/>
    <w:rsid w:val="36C02FF5"/>
    <w:rsid w:val="36C8525D"/>
    <w:rsid w:val="36CE2B8B"/>
    <w:rsid w:val="36CE4026"/>
    <w:rsid w:val="36D2109A"/>
    <w:rsid w:val="36DA5D27"/>
    <w:rsid w:val="36E00019"/>
    <w:rsid w:val="36E5678B"/>
    <w:rsid w:val="36E82D7D"/>
    <w:rsid w:val="36EE176D"/>
    <w:rsid w:val="36F415EE"/>
    <w:rsid w:val="36F4518E"/>
    <w:rsid w:val="36FE1089"/>
    <w:rsid w:val="370214AD"/>
    <w:rsid w:val="37036FE3"/>
    <w:rsid w:val="37045F9C"/>
    <w:rsid w:val="370749B6"/>
    <w:rsid w:val="37100355"/>
    <w:rsid w:val="37100490"/>
    <w:rsid w:val="371027EE"/>
    <w:rsid w:val="37113004"/>
    <w:rsid w:val="371644E5"/>
    <w:rsid w:val="37171288"/>
    <w:rsid w:val="371D628A"/>
    <w:rsid w:val="371F66C4"/>
    <w:rsid w:val="3723798B"/>
    <w:rsid w:val="3729092C"/>
    <w:rsid w:val="372A115D"/>
    <w:rsid w:val="372A6492"/>
    <w:rsid w:val="37342B76"/>
    <w:rsid w:val="373569A8"/>
    <w:rsid w:val="373A2E6A"/>
    <w:rsid w:val="37413FD0"/>
    <w:rsid w:val="37541BBC"/>
    <w:rsid w:val="3763166B"/>
    <w:rsid w:val="37714675"/>
    <w:rsid w:val="377524B9"/>
    <w:rsid w:val="37777D0F"/>
    <w:rsid w:val="377B1BC4"/>
    <w:rsid w:val="377B70B6"/>
    <w:rsid w:val="377F1D9F"/>
    <w:rsid w:val="37866BB7"/>
    <w:rsid w:val="378A7959"/>
    <w:rsid w:val="379151F3"/>
    <w:rsid w:val="3792524B"/>
    <w:rsid w:val="37940C52"/>
    <w:rsid w:val="37947D35"/>
    <w:rsid w:val="37974C0B"/>
    <w:rsid w:val="3798394F"/>
    <w:rsid w:val="379E04A1"/>
    <w:rsid w:val="37A30873"/>
    <w:rsid w:val="37A82E6A"/>
    <w:rsid w:val="37AB60FB"/>
    <w:rsid w:val="37AD2BE0"/>
    <w:rsid w:val="37AD3750"/>
    <w:rsid w:val="37BC7D6A"/>
    <w:rsid w:val="37C04076"/>
    <w:rsid w:val="37CB48C8"/>
    <w:rsid w:val="37D16809"/>
    <w:rsid w:val="37D42753"/>
    <w:rsid w:val="37D43E53"/>
    <w:rsid w:val="37E026E2"/>
    <w:rsid w:val="37EB7EF5"/>
    <w:rsid w:val="37F27F92"/>
    <w:rsid w:val="37FB0B3E"/>
    <w:rsid w:val="380C1BF9"/>
    <w:rsid w:val="381B47D0"/>
    <w:rsid w:val="381B7280"/>
    <w:rsid w:val="38207B5C"/>
    <w:rsid w:val="38223218"/>
    <w:rsid w:val="38274ABD"/>
    <w:rsid w:val="382D1422"/>
    <w:rsid w:val="382D2E19"/>
    <w:rsid w:val="383057ED"/>
    <w:rsid w:val="38350C02"/>
    <w:rsid w:val="383651A6"/>
    <w:rsid w:val="383B3187"/>
    <w:rsid w:val="383D70C6"/>
    <w:rsid w:val="383E3BF5"/>
    <w:rsid w:val="384E6F01"/>
    <w:rsid w:val="38514617"/>
    <w:rsid w:val="38560AE8"/>
    <w:rsid w:val="385E3236"/>
    <w:rsid w:val="38766C47"/>
    <w:rsid w:val="3887059F"/>
    <w:rsid w:val="38880168"/>
    <w:rsid w:val="388B1091"/>
    <w:rsid w:val="388F0D9F"/>
    <w:rsid w:val="38922097"/>
    <w:rsid w:val="38936DFE"/>
    <w:rsid w:val="38A253F3"/>
    <w:rsid w:val="38B37FAC"/>
    <w:rsid w:val="38C84A7D"/>
    <w:rsid w:val="38CB4514"/>
    <w:rsid w:val="38CC185A"/>
    <w:rsid w:val="38CD532F"/>
    <w:rsid w:val="38D0339D"/>
    <w:rsid w:val="38D233FA"/>
    <w:rsid w:val="38D43BCE"/>
    <w:rsid w:val="38D5234B"/>
    <w:rsid w:val="38D5710F"/>
    <w:rsid w:val="38D66B3C"/>
    <w:rsid w:val="38D90E44"/>
    <w:rsid w:val="38EA64E4"/>
    <w:rsid w:val="38FA0464"/>
    <w:rsid w:val="38FF192C"/>
    <w:rsid w:val="3909678D"/>
    <w:rsid w:val="39145CDB"/>
    <w:rsid w:val="391C4E68"/>
    <w:rsid w:val="3931660F"/>
    <w:rsid w:val="39563559"/>
    <w:rsid w:val="39570EDE"/>
    <w:rsid w:val="395B167E"/>
    <w:rsid w:val="39615265"/>
    <w:rsid w:val="39656815"/>
    <w:rsid w:val="396A4A6D"/>
    <w:rsid w:val="397D6F73"/>
    <w:rsid w:val="39802ECC"/>
    <w:rsid w:val="39814183"/>
    <w:rsid w:val="39865E81"/>
    <w:rsid w:val="3990522A"/>
    <w:rsid w:val="39926E4B"/>
    <w:rsid w:val="39944C4D"/>
    <w:rsid w:val="39A5333D"/>
    <w:rsid w:val="39A847B3"/>
    <w:rsid w:val="39AD28F1"/>
    <w:rsid w:val="39B02129"/>
    <w:rsid w:val="39B229BB"/>
    <w:rsid w:val="39B8558E"/>
    <w:rsid w:val="39BC6F23"/>
    <w:rsid w:val="39BD345B"/>
    <w:rsid w:val="39CA2143"/>
    <w:rsid w:val="39D0535B"/>
    <w:rsid w:val="39E139DA"/>
    <w:rsid w:val="39E3325A"/>
    <w:rsid w:val="39E52A4D"/>
    <w:rsid w:val="39F790F9"/>
    <w:rsid w:val="39F90616"/>
    <w:rsid w:val="39FA4C6C"/>
    <w:rsid w:val="39FD1B1B"/>
    <w:rsid w:val="3A0801CB"/>
    <w:rsid w:val="3A1320A7"/>
    <w:rsid w:val="3A1530F4"/>
    <w:rsid w:val="3A191CC0"/>
    <w:rsid w:val="3A1A3080"/>
    <w:rsid w:val="3A2B5CE1"/>
    <w:rsid w:val="3A2D2D36"/>
    <w:rsid w:val="3A325C00"/>
    <w:rsid w:val="3A355C1E"/>
    <w:rsid w:val="3A436F66"/>
    <w:rsid w:val="3A4D406C"/>
    <w:rsid w:val="3A542EE1"/>
    <w:rsid w:val="3A5C1538"/>
    <w:rsid w:val="3A5D61D4"/>
    <w:rsid w:val="3A6F23F7"/>
    <w:rsid w:val="3A761F09"/>
    <w:rsid w:val="3A7E466F"/>
    <w:rsid w:val="3A7F67D6"/>
    <w:rsid w:val="3A8A0C83"/>
    <w:rsid w:val="3A904241"/>
    <w:rsid w:val="3A95462C"/>
    <w:rsid w:val="3A954AF3"/>
    <w:rsid w:val="3A9D20EF"/>
    <w:rsid w:val="3AA3573F"/>
    <w:rsid w:val="3AB51559"/>
    <w:rsid w:val="3AB80274"/>
    <w:rsid w:val="3ABA0C6F"/>
    <w:rsid w:val="3AD67741"/>
    <w:rsid w:val="3AD86362"/>
    <w:rsid w:val="3AE801A7"/>
    <w:rsid w:val="3AEE6745"/>
    <w:rsid w:val="3AF34940"/>
    <w:rsid w:val="3AF51000"/>
    <w:rsid w:val="3AF84B31"/>
    <w:rsid w:val="3AFA5495"/>
    <w:rsid w:val="3B102599"/>
    <w:rsid w:val="3B156E12"/>
    <w:rsid w:val="3B170047"/>
    <w:rsid w:val="3B1834CA"/>
    <w:rsid w:val="3B190257"/>
    <w:rsid w:val="3B1E24C8"/>
    <w:rsid w:val="3B206ED8"/>
    <w:rsid w:val="3B224C02"/>
    <w:rsid w:val="3B3A1E8F"/>
    <w:rsid w:val="3B3E25C8"/>
    <w:rsid w:val="3B3E787D"/>
    <w:rsid w:val="3B3F739A"/>
    <w:rsid w:val="3B421E6A"/>
    <w:rsid w:val="3B437BA1"/>
    <w:rsid w:val="3B5159E0"/>
    <w:rsid w:val="3B536957"/>
    <w:rsid w:val="3B570024"/>
    <w:rsid w:val="3B643114"/>
    <w:rsid w:val="3B6B49ED"/>
    <w:rsid w:val="3B753374"/>
    <w:rsid w:val="3B762EC6"/>
    <w:rsid w:val="3B791F2E"/>
    <w:rsid w:val="3B7B29BE"/>
    <w:rsid w:val="3B7D3926"/>
    <w:rsid w:val="3B8900CE"/>
    <w:rsid w:val="3B8B309C"/>
    <w:rsid w:val="3B902BFC"/>
    <w:rsid w:val="3B921466"/>
    <w:rsid w:val="3B997D0B"/>
    <w:rsid w:val="3B9C2775"/>
    <w:rsid w:val="3BA42061"/>
    <w:rsid w:val="3BAF520C"/>
    <w:rsid w:val="3BAF6039"/>
    <w:rsid w:val="3BB35989"/>
    <w:rsid w:val="3BB723BA"/>
    <w:rsid w:val="3BBA3AFF"/>
    <w:rsid w:val="3BC35EE9"/>
    <w:rsid w:val="3BCA1F1C"/>
    <w:rsid w:val="3BCB1844"/>
    <w:rsid w:val="3BCC13D8"/>
    <w:rsid w:val="3BD820FE"/>
    <w:rsid w:val="3BE27A94"/>
    <w:rsid w:val="3BEB2E92"/>
    <w:rsid w:val="3BEB58D7"/>
    <w:rsid w:val="3BEB623F"/>
    <w:rsid w:val="3BED4025"/>
    <w:rsid w:val="3BEF6F6C"/>
    <w:rsid w:val="3BF73788"/>
    <w:rsid w:val="3BF809C2"/>
    <w:rsid w:val="3BF8706E"/>
    <w:rsid w:val="3BF94F40"/>
    <w:rsid w:val="3BFC16FB"/>
    <w:rsid w:val="3BFD13A6"/>
    <w:rsid w:val="3BFE0325"/>
    <w:rsid w:val="3C017E8A"/>
    <w:rsid w:val="3C0700C2"/>
    <w:rsid w:val="3C080A8E"/>
    <w:rsid w:val="3C122406"/>
    <w:rsid w:val="3C19096E"/>
    <w:rsid w:val="3C1957C8"/>
    <w:rsid w:val="3C1C0639"/>
    <w:rsid w:val="3C1C630C"/>
    <w:rsid w:val="3C2E346D"/>
    <w:rsid w:val="3C300658"/>
    <w:rsid w:val="3C33357B"/>
    <w:rsid w:val="3C346B7B"/>
    <w:rsid w:val="3C3B28AC"/>
    <w:rsid w:val="3C3B425B"/>
    <w:rsid w:val="3C403DFA"/>
    <w:rsid w:val="3C414D0E"/>
    <w:rsid w:val="3C43745C"/>
    <w:rsid w:val="3C482649"/>
    <w:rsid w:val="3C541A53"/>
    <w:rsid w:val="3C543122"/>
    <w:rsid w:val="3C5C62C9"/>
    <w:rsid w:val="3C5D704A"/>
    <w:rsid w:val="3C620A5E"/>
    <w:rsid w:val="3C6541EF"/>
    <w:rsid w:val="3C6C3E08"/>
    <w:rsid w:val="3C6E47E3"/>
    <w:rsid w:val="3C744B26"/>
    <w:rsid w:val="3C816E1B"/>
    <w:rsid w:val="3C831660"/>
    <w:rsid w:val="3C83345F"/>
    <w:rsid w:val="3C8D51A5"/>
    <w:rsid w:val="3C8E4696"/>
    <w:rsid w:val="3C8F2904"/>
    <w:rsid w:val="3C93325D"/>
    <w:rsid w:val="3C940CDB"/>
    <w:rsid w:val="3C961F59"/>
    <w:rsid w:val="3C986895"/>
    <w:rsid w:val="3C9D0C1B"/>
    <w:rsid w:val="3CA01CB6"/>
    <w:rsid w:val="3CBC4692"/>
    <w:rsid w:val="3CBE220A"/>
    <w:rsid w:val="3CC221D5"/>
    <w:rsid w:val="3CD3454F"/>
    <w:rsid w:val="3CD454BB"/>
    <w:rsid w:val="3CDC4055"/>
    <w:rsid w:val="3CDD5498"/>
    <w:rsid w:val="3CEA0930"/>
    <w:rsid w:val="3CEA1403"/>
    <w:rsid w:val="3CF27B95"/>
    <w:rsid w:val="3CFF5A50"/>
    <w:rsid w:val="3D00484B"/>
    <w:rsid w:val="3D022A34"/>
    <w:rsid w:val="3D0532BC"/>
    <w:rsid w:val="3D066B35"/>
    <w:rsid w:val="3D106EB6"/>
    <w:rsid w:val="3D1657EF"/>
    <w:rsid w:val="3D1C0B24"/>
    <w:rsid w:val="3D2F5D75"/>
    <w:rsid w:val="3D310EE9"/>
    <w:rsid w:val="3D3C210D"/>
    <w:rsid w:val="3D4B0893"/>
    <w:rsid w:val="3D575AE9"/>
    <w:rsid w:val="3D5A3B41"/>
    <w:rsid w:val="3D5B7F07"/>
    <w:rsid w:val="3D5F5D82"/>
    <w:rsid w:val="3D60278F"/>
    <w:rsid w:val="3D61360E"/>
    <w:rsid w:val="3D6636D8"/>
    <w:rsid w:val="3D676FE6"/>
    <w:rsid w:val="3D7B6FFD"/>
    <w:rsid w:val="3D7D2033"/>
    <w:rsid w:val="3D7D68E8"/>
    <w:rsid w:val="3D816473"/>
    <w:rsid w:val="3D8309F7"/>
    <w:rsid w:val="3D867A00"/>
    <w:rsid w:val="3D8A2AEC"/>
    <w:rsid w:val="3D8B7982"/>
    <w:rsid w:val="3D924D76"/>
    <w:rsid w:val="3D936176"/>
    <w:rsid w:val="3DA37A9A"/>
    <w:rsid w:val="3DA605F1"/>
    <w:rsid w:val="3DAE1158"/>
    <w:rsid w:val="3DB624D6"/>
    <w:rsid w:val="3DC22833"/>
    <w:rsid w:val="3DC23C91"/>
    <w:rsid w:val="3DC96A91"/>
    <w:rsid w:val="3DCE4212"/>
    <w:rsid w:val="3DDA5E4C"/>
    <w:rsid w:val="3DDE4B56"/>
    <w:rsid w:val="3DE50A71"/>
    <w:rsid w:val="3DE82934"/>
    <w:rsid w:val="3DE97DC5"/>
    <w:rsid w:val="3DEB52DF"/>
    <w:rsid w:val="3DF15DDC"/>
    <w:rsid w:val="3DF43ED5"/>
    <w:rsid w:val="3E003E29"/>
    <w:rsid w:val="3E0779AC"/>
    <w:rsid w:val="3E0B107A"/>
    <w:rsid w:val="3E144699"/>
    <w:rsid w:val="3E1677CF"/>
    <w:rsid w:val="3E1D3429"/>
    <w:rsid w:val="3E297137"/>
    <w:rsid w:val="3E33573A"/>
    <w:rsid w:val="3E37141A"/>
    <w:rsid w:val="3E3C0AAF"/>
    <w:rsid w:val="3E44673F"/>
    <w:rsid w:val="3E4B5902"/>
    <w:rsid w:val="3E4F3CBE"/>
    <w:rsid w:val="3E5E47FF"/>
    <w:rsid w:val="3E620DC8"/>
    <w:rsid w:val="3E650593"/>
    <w:rsid w:val="3E6544EB"/>
    <w:rsid w:val="3E684068"/>
    <w:rsid w:val="3E722557"/>
    <w:rsid w:val="3E7F51AE"/>
    <w:rsid w:val="3E895706"/>
    <w:rsid w:val="3E9111B3"/>
    <w:rsid w:val="3E9D503C"/>
    <w:rsid w:val="3EA9033A"/>
    <w:rsid w:val="3EAD547C"/>
    <w:rsid w:val="3EAF72E4"/>
    <w:rsid w:val="3EB024A8"/>
    <w:rsid w:val="3EB3388D"/>
    <w:rsid w:val="3ED332D0"/>
    <w:rsid w:val="3EDA770D"/>
    <w:rsid w:val="3EDF0F4A"/>
    <w:rsid w:val="3EEC5C2D"/>
    <w:rsid w:val="3EF02A21"/>
    <w:rsid w:val="3F075FB1"/>
    <w:rsid w:val="3F0B22B1"/>
    <w:rsid w:val="3F1518FB"/>
    <w:rsid w:val="3F1839E4"/>
    <w:rsid w:val="3F21691D"/>
    <w:rsid w:val="3F227F5D"/>
    <w:rsid w:val="3F257466"/>
    <w:rsid w:val="3F26543B"/>
    <w:rsid w:val="3F2F5A8C"/>
    <w:rsid w:val="3F337273"/>
    <w:rsid w:val="3F402B80"/>
    <w:rsid w:val="3F405805"/>
    <w:rsid w:val="3F412DEC"/>
    <w:rsid w:val="3F417DF3"/>
    <w:rsid w:val="3F425D2C"/>
    <w:rsid w:val="3F545E4C"/>
    <w:rsid w:val="3F5B19BB"/>
    <w:rsid w:val="3F640F97"/>
    <w:rsid w:val="3F674097"/>
    <w:rsid w:val="3F6B0F2F"/>
    <w:rsid w:val="3F6E7226"/>
    <w:rsid w:val="3F7418AC"/>
    <w:rsid w:val="3F7B467C"/>
    <w:rsid w:val="3F7F4BFD"/>
    <w:rsid w:val="3F8534F2"/>
    <w:rsid w:val="3F8D44E0"/>
    <w:rsid w:val="3F8D6CDE"/>
    <w:rsid w:val="3F91278C"/>
    <w:rsid w:val="3F963DFF"/>
    <w:rsid w:val="3F9C3E7C"/>
    <w:rsid w:val="3FA96983"/>
    <w:rsid w:val="3FB82044"/>
    <w:rsid w:val="3FBE27AD"/>
    <w:rsid w:val="3FC86AC9"/>
    <w:rsid w:val="3FD0113C"/>
    <w:rsid w:val="3FDE7FCF"/>
    <w:rsid w:val="3FE03F00"/>
    <w:rsid w:val="3FEB0F5D"/>
    <w:rsid w:val="3FED37A2"/>
    <w:rsid w:val="3FEF41D1"/>
    <w:rsid w:val="3FF76865"/>
    <w:rsid w:val="40097753"/>
    <w:rsid w:val="400A538D"/>
    <w:rsid w:val="401041CC"/>
    <w:rsid w:val="401C0644"/>
    <w:rsid w:val="401E054D"/>
    <w:rsid w:val="40385090"/>
    <w:rsid w:val="403D4075"/>
    <w:rsid w:val="404B2300"/>
    <w:rsid w:val="404D5A77"/>
    <w:rsid w:val="40581609"/>
    <w:rsid w:val="4062552B"/>
    <w:rsid w:val="406D27EF"/>
    <w:rsid w:val="406D3F31"/>
    <w:rsid w:val="406F76A5"/>
    <w:rsid w:val="40753569"/>
    <w:rsid w:val="40762F0A"/>
    <w:rsid w:val="40765E8A"/>
    <w:rsid w:val="407A01EC"/>
    <w:rsid w:val="407A6235"/>
    <w:rsid w:val="407E641B"/>
    <w:rsid w:val="40825976"/>
    <w:rsid w:val="4084632A"/>
    <w:rsid w:val="409F072A"/>
    <w:rsid w:val="40C23D90"/>
    <w:rsid w:val="40C41B4E"/>
    <w:rsid w:val="40D00C0D"/>
    <w:rsid w:val="40D01ACC"/>
    <w:rsid w:val="40D14D78"/>
    <w:rsid w:val="40D44946"/>
    <w:rsid w:val="40DA5A05"/>
    <w:rsid w:val="40E11F2D"/>
    <w:rsid w:val="40E35E87"/>
    <w:rsid w:val="40E4258F"/>
    <w:rsid w:val="40EC441D"/>
    <w:rsid w:val="40F044C9"/>
    <w:rsid w:val="40F23713"/>
    <w:rsid w:val="40F617D0"/>
    <w:rsid w:val="40F90299"/>
    <w:rsid w:val="40F93729"/>
    <w:rsid w:val="410117A7"/>
    <w:rsid w:val="41180D6F"/>
    <w:rsid w:val="412D196C"/>
    <w:rsid w:val="412D4B5B"/>
    <w:rsid w:val="4134263A"/>
    <w:rsid w:val="41371FE0"/>
    <w:rsid w:val="4138287E"/>
    <w:rsid w:val="41467190"/>
    <w:rsid w:val="414A140C"/>
    <w:rsid w:val="415A7012"/>
    <w:rsid w:val="415C087D"/>
    <w:rsid w:val="41612804"/>
    <w:rsid w:val="41713E87"/>
    <w:rsid w:val="41745FFF"/>
    <w:rsid w:val="41765FD2"/>
    <w:rsid w:val="41774FCB"/>
    <w:rsid w:val="417A2A74"/>
    <w:rsid w:val="417C232F"/>
    <w:rsid w:val="41810899"/>
    <w:rsid w:val="4181283B"/>
    <w:rsid w:val="41821EA6"/>
    <w:rsid w:val="418271DC"/>
    <w:rsid w:val="418A0B5C"/>
    <w:rsid w:val="418A4C26"/>
    <w:rsid w:val="418F3541"/>
    <w:rsid w:val="418F74C9"/>
    <w:rsid w:val="41901674"/>
    <w:rsid w:val="419874B5"/>
    <w:rsid w:val="419B3BAC"/>
    <w:rsid w:val="41A1203F"/>
    <w:rsid w:val="41A20EE7"/>
    <w:rsid w:val="41B353F1"/>
    <w:rsid w:val="41BB72F2"/>
    <w:rsid w:val="41BF3C12"/>
    <w:rsid w:val="41C31D3A"/>
    <w:rsid w:val="41C5567C"/>
    <w:rsid w:val="41C94A4A"/>
    <w:rsid w:val="41CD75FC"/>
    <w:rsid w:val="41D4344D"/>
    <w:rsid w:val="41D66F44"/>
    <w:rsid w:val="41D855AF"/>
    <w:rsid w:val="41DC577E"/>
    <w:rsid w:val="41DF07EE"/>
    <w:rsid w:val="41E33215"/>
    <w:rsid w:val="41EE0902"/>
    <w:rsid w:val="41F635A0"/>
    <w:rsid w:val="42072FBF"/>
    <w:rsid w:val="4209415C"/>
    <w:rsid w:val="420D0AA0"/>
    <w:rsid w:val="420D6792"/>
    <w:rsid w:val="420F5499"/>
    <w:rsid w:val="4211109D"/>
    <w:rsid w:val="42126EA7"/>
    <w:rsid w:val="4220489C"/>
    <w:rsid w:val="423979F5"/>
    <w:rsid w:val="425C5BCE"/>
    <w:rsid w:val="425C63F0"/>
    <w:rsid w:val="425F7EE1"/>
    <w:rsid w:val="42605FC7"/>
    <w:rsid w:val="42707171"/>
    <w:rsid w:val="427C2C01"/>
    <w:rsid w:val="427E1411"/>
    <w:rsid w:val="427E1440"/>
    <w:rsid w:val="4285081E"/>
    <w:rsid w:val="42904B06"/>
    <w:rsid w:val="42A97915"/>
    <w:rsid w:val="42AF6E21"/>
    <w:rsid w:val="42B019DA"/>
    <w:rsid w:val="42B3253F"/>
    <w:rsid w:val="42B61D72"/>
    <w:rsid w:val="42B94F8F"/>
    <w:rsid w:val="42B95478"/>
    <w:rsid w:val="42BC2E3B"/>
    <w:rsid w:val="42BD0168"/>
    <w:rsid w:val="42C57EEB"/>
    <w:rsid w:val="42D21379"/>
    <w:rsid w:val="42D726EA"/>
    <w:rsid w:val="42DA72B2"/>
    <w:rsid w:val="42EC5ED5"/>
    <w:rsid w:val="42F03CC4"/>
    <w:rsid w:val="42F35F7E"/>
    <w:rsid w:val="430178FD"/>
    <w:rsid w:val="4304205B"/>
    <w:rsid w:val="43097A2D"/>
    <w:rsid w:val="430E6D0F"/>
    <w:rsid w:val="43204EC9"/>
    <w:rsid w:val="432073D2"/>
    <w:rsid w:val="432243D5"/>
    <w:rsid w:val="43245CA2"/>
    <w:rsid w:val="43386CA4"/>
    <w:rsid w:val="433B619F"/>
    <w:rsid w:val="433B686E"/>
    <w:rsid w:val="433D333A"/>
    <w:rsid w:val="43422211"/>
    <w:rsid w:val="4343018D"/>
    <w:rsid w:val="4348461B"/>
    <w:rsid w:val="434C4375"/>
    <w:rsid w:val="434E3D91"/>
    <w:rsid w:val="434E5DC7"/>
    <w:rsid w:val="43526EF4"/>
    <w:rsid w:val="43605D67"/>
    <w:rsid w:val="436647E4"/>
    <w:rsid w:val="43675D4E"/>
    <w:rsid w:val="436E31A2"/>
    <w:rsid w:val="436E6A85"/>
    <w:rsid w:val="437250FA"/>
    <w:rsid w:val="43772234"/>
    <w:rsid w:val="437A7D6E"/>
    <w:rsid w:val="437C39D2"/>
    <w:rsid w:val="43820334"/>
    <w:rsid w:val="438863EE"/>
    <w:rsid w:val="438B194F"/>
    <w:rsid w:val="438B5EFE"/>
    <w:rsid w:val="438B7C2F"/>
    <w:rsid w:val="43916690"/>
    <w:rsid w:val="43A86292"/>
    <w:rsid w:val="43A94C99"/>
    <w:rsid w:val="43AD047C"/>
    <w:rsid w:val="43AE63F3"/>
    <w:rsid w:val="43B93CA1"/>
    <w:rsid w:val="43C96CC1"/>
    <w:rsid w:val="43D95A5E"/>
    <w:rsid w:val="43DB681A"/>
    <w:rsid w:val="43E66B2A"/>
    <w:rsid w:val="43EF7DF5"/>
    <w:rsid w:val="43F36023"/>
    <w:rsid w:val="43F37BDD"/>
    <w:rsid w:val="43F54DDA"/>
    <w:rsid w:val="43F669AB"/>
    <w:rsid w:val="43F75428"/>
    <w:rsid w:val="43F81C69"/>
    <w:rsid w:val="44062A2A"/>
    <w:rsid w:val="44064D7F"/>
    <w:rsid w:val="440F21F4"/>
    <w:rsid w:val="441A0288"/>
    <w:rsid w:val="441D5C96"/>
    <w:rsid w:val="442348CE"/>
    <w:rsid w:val="44312509"/>
    <w:rsid w:val="44353309"/>
    <w:rsid w:val="443D5C83"/>
    <w:rsid w:val="443E4AEA"/>
    <w:rsid w:val="443E6111"/>
    <w:rsid w:val="444112B7"/>
    <w:rsid w:val="4445734B"/>
    <w:rsid w:val="44486DE6"/>
    <w:rsid w:val="444B2345"/>
    <w:rsid w:val="444D2165"/>
    <w:rsid w:val="4453069C"/>
    <w:rsid w:val="4458432F"/>
    <w:rsid w:val="44624CAF"/>
    <w:rsid w:val="44704880"/>
    <w:rsid w:val="4472155A"/>
    <w:rsid w:val="447670D1"/>
    <w:rsid w:val="44773194"/>
    <w:rsid w:val="447B38D0"/>
    <w:rsid w:val="44906170"/>
    <w:rsid w:val="44962505"/>
    <w:rsid w:val="44970B52"/>
    <w:rsid w:val="44974BB0"/>
    <w:rsid w:val="449A2D31"/>
    <w:rsid w:val="449A2DDB"/>
    <w:rsid w:val="449A7C89"/>
    <w:rsid w:val="44A43AD2"/>
    <w:rsid w:val="44AB35B4"/>
    <w:rsid w:val="44B00AD5"/>
    <w:rsid w:val="44BE5AFE"/>
    <w:rsid w:val="44C0317F"/>
    <w:rsid w:val="44CA33E5"/>
    <w:rsid w:val="44CA44C7"/>
    <w:rsid w:val="44CB2B24"/>
    <w:rsid w:val="44CC6B71"/>
    <w:rsid w:val="44D2188E"/>
    <w:rsid w:val="44D600B5"/>
    <w:rsid w:val="44DB63C4"/>
    <w:rsid w:val="44E528DD"/>
    <w:rsid w:val="44E63F80"/>
    <w:rsid w:val="44F13BA9"/>
    <w:rsid w:val="44F351E4"/>
    <w:rsid w:val="44FC7169"/>
    <w:rsid w:val="44FF12D4"/>
    <w:rsid w:val="4505615F"/>
    <w:rsid w:val="45195E19"/>
    <w:rsid w:val="45197E64"/>
    <w:rsid w:val="451A08D6"/>
    <w:rsid w:val="451A4504"/>
    <w:rsid w:val="45216D6E"/>
    <w:rsid w:val="452660B5"/>
    <w:rsid w:val="452A3E26"/>
    <w:rsid w:val="453646A8"/>
    <w:rsid w:val="453E5CD2"/>
    <w:rsid w:val="45444294"/>
    <w:rsid w:val="45467D00"/>
    <w:rsid w:val="454E526B"/>
    <w:rsid w:val="455116D4"/>
    <w:rsid w:val="45624F4A"/>
    <w:rsid w:val="456533EA"/>
    <w:rsid w:val="4568096A"/>
    <w:rsid w:val="45721CAA"/>
    <w:rsid w:val="45736A70"/>
    <w:rsid w:val="45741404"/>
    <w:rsid w:val="45744D1D"/>
    <w:rsid w:val="4576199B"/>
    <w:rsid w:val="457B5429"/>
    <w:rsid w:val="457D00B8"/>
    <w:rsid w:val="457F625C"/>
    <w:rsid w:val="45800E6C"/>
    <w:rsid w:val="45820B72"/>
    <w:rsid w:val="458379B3"/>
    <w:rsid w:val="459B604C"/>
    <w:rsid w:val="459F5856"/>
    <w:rsid w:val="45A36F29"/>
    <w:rsid w:val="45AA2B83"/>
    <w:rsid w:val="45AB1C04"/>
    <w:rsid w:val="45BA306C"/>
    <w:rsid w:val="45BB2BD6"/>
    <w:rsid w:val="45BC2771"/>
    <w:rsid w:val="45C86013"/>
    <w:rsid w:val="45CD3D41"/>
    <w:rsid w:val="45D26963"/>
    <w:rsid w:val="45D30873"/>
    <w:rsid w:val="45D46F7A"/>
    <w:rsid w:val="45D75E1C"/>
    <w:rsid w:val="45DE78CC"/>
    <w:rsid w:val="45DF56C6"/>
    <w:rsid w:val="45E16D57"/>
    <w:rsid w:val="45E83918"/>
    <w:rsid w:val="45F21802"/>
    <w:rsid w:val="45F524BA"/>
    <w:rsid w:val="45F85B25"/>
    <w:rsid w:val="45F8695A"/>
    <w:rsid w:val="45FA267E"/>
    <w:rsid w:val="45FA5BAF"/>
    <w:rsid w:val="45FD1EC4"/>
    <w:rsid w:val="46010103"/>
    <w:rsid w:val="4606415C"/>
    <w:rsid w:val="460F365D"/>
    <w:rsid w:val="461100CE"/>
    <w:rsid w:val="4611295A"/>
    <w:rsid w:val="4612589E"/>
    <w:rsid w:val="46126EFC"/>
    <w:rsid w:val="461560DE"/>
    <w:rsid w:val="46211F6D"/>
    <w:rsid w:val="462167C7"/>
    <w:rsid w:val="462A7A71"/>
    <w:rsid w:val="46374A64"/>
    <w:rsid w:val="463F7602"/>
    <w:rsid w:val="464C33C7"/>
    <w:rsid w:val="464F05B2"/>
    <w:rsid w:val="465D756E"/>
    <w:rsid w:val="466E33DE"/>
    <w:rsid w:val="467669A2"/>
    <w:rsid w:val="468D25A7"/>
    <w:rsid w:val="46A1326E"/>
    <w:rsid w:val="46A24EE1"/>
    <w:rsid w:val="46A2703C"/>
    <w:rsid w:val="46A865A8"/>
    <w:rsid w:val="46AD29A2"/>
    <w:rsid w:val="46AD7BE3"/>
    <w:rsid w:val="46B3037E"/>
    <w:rsid w:val="46C0010A"/>
    <w:rsid w:val="46C07B71"/>
    <w:rsid w:val="46C2786F"/>
    <w:rsid w:val="46C97019"/>
    <w:rsid w:val="46D11B8F"/>
    <w:rsid w:val="46D202C6"/>
    <w:rsid w:val="46DF599E"/>
    <w:rsid w:val="46E2491C"/>
    <w:rsid w:val="46E65F69"/>
    <w:rsid w:val="46EB4D4C"/>
    <w:rsid w:val="46F0402F"/>
    <w:rsid w:val="46F14C63"/>
    <w:rsid w:val="46FE12B7"/>
    <w:rsid w:val="47005024"/>
    <w:rsid w:val="470077D4"/>
    <w:rsid w:val="470401D6"/>
    <w:rsid w:val="470455B4"/>
    <w:rsid w:val="470A674E"/>
    <w:rsid w:val="470E2853"/>
    <w:rsid w:val="47104C78"/>
    <w:rsid w:val="47155653"/>
    <w:rsid w:val="4718369C"/>
    <w:rsid w:val="473255BE"/>
    <w:rsid w:val="47372C20"/>
    <w:rsid w:val="47522E07"/>
    <w:rsid w:val="47550FFD"/>
    <w:rsid w:val="47690EAD"/>
    <w:rsid w:val="476A091A"/>
    <w:rsid w:val="476C1FD1"/>
    <w:rsid w:val="476F314A"/>
    <w:rsid w:val="477A102B"/>
    <w:rsid w:val="477C3C9F"/>
    <w:rsid w:val="478175DF"/>
    <w:rsid w:val="47835FD1"/>
    <w:rsid w:val="47921058"/>
    <w:rsid w:val="47980643"/>
    <w:rsid w:val="47A11184"/>
    <w:rsid w:val="47A13D33"/>
    <w:rsid w:val="47A25FD2"/>
    <w:rsid w:val="47A337EB"/>
    <w:rsid w:val="47AB051B"/>
    <w:rsid w:val="47AC64AE"/>
    <w:rsid w:val="47AE2329"/>
    <w:rsid w:val="47B25DFC"/>
    <w:rsid w:val="47B6295B"/>
    <w:rsid w:val="47BA20DB"/>
    <w:rsid w:val="47BB4588"/>
    <w:rsid w:val="47BB7B88"/>
    <w:rsid w:val="47C05692"/>
    <w:rsid w:val="47CD4EBC"/>
    <w:rsid w:val="47D024EA"/>
    <w:rsid w:val="47D34EEE"/>
    <w:rsid w:val="47D67760"/>
    <w:rsid w:val="47DC4C30"/>
    <w:rsid w:val="48002186"/>
    <w:rsid w:val="48036C7B"/>
    <w:rsid w:val="480C3966"/>
    <w:rsid w:val="48167097"/>
    <w:rsid w:val="481A5C54"/>
    <w:rsid w:val="48220C0B"/>
    <w:rsid w:val="48257691"/>
    <w:rsid w:val="48272EB6"/>
    <w:rsid w:val="4827725F"/>
    <w:rsid w:val="48330D0B"/>
    <w:rsid w:val="48372EC6"/>
    <w:rsid w:val="483A498D"/>
    <w:rsid w:val="48413AC8"/>
    <w:rsid w:val="4844010E"/>
    <w:rsid w:val="484D70C0"/>
    <w:rsid w:val="484E18C5"/>
    <w:rsid w:val="48502B2C"/>
    <w:rsid w:val="48586A3A"/>
    <w:rsid w:val="485D3E76"/>
    <w:rsid w:val="48620B89"/>
    <w:rsid w:val="48654A6D"/>
    <w:rsid w:val="48661300"/>
    <w:rsid w:val="4866431A"/>
    <w:rsid w:val="4866681E"/>
    <w:rsid w:val="48695228"/>
    <w:rsid w:val="486B673C"/>
    <w:rsid w:val="486D67CD"/>
    <w:rsid w:val="486D7B00"/>
    <w:rsid w:val="4870241F"/>
    <w:rsid w:val="48727A4E"/>
    <w:rsid w:val="48737255"/>
    <w:rsid w:val="48773B48"/>
    <w:rsid w:val="48803A0C"/>
    <w:rsid w:val="48834488"/>
    <w:rsid w:val="48874444"/>
    <w:rsid w:val="488C17EC"/>
    <w:rsid w:val="488E7F90"/>
    <w:rsid w:val="489070E9"/>
    <w:rsid w:val="48917985"/>
    <w:rsid w:val="48931C83"/>
    <w:rsid w:val="48951164"/>
    <w:rsid w:val="4896216F"/>
    <w:rsid w:val="48993657"/>
    <w:rsid w:val="48A26A89"/>
    <w:rsid w:val="48A34403"/>
    <w:rsid w:val="48B61005"/>
    <w:rsid w:val="48B629D0"/>
    <w:rsid w:val="48B65743"/>
    <w:rsid w:val="48B97EB1"/>
    <w:rsid w:val="48C31C61"/>
    <w:rsid w:val="48C87C34"/>
    <w:rsid w:val="48D045E3"/>
    <w:rsid w:val="48D16CA0"/>
    <w:rsid w:val="48D872F2"/>
    <w:rsid w:val="48DD7098"/>
    <w:rsid w:val="48DF8E71"/>
    <w:rsid w:val="48E65A8C"/>
    <w:rsid w:val="48E76C25"/>
    <w:rsid w:val="48E873E2"/>
    <w:rsid w:val="48EB5F33"/>
    <w:rsid w:val="48EC0DCC"/>
    <w:rsid w:val="48ED131B"/>
    <w:rsid w:val="48ED21B1"/>
    <w:rsid w:val="48F56D96"/>
    <w:rsid w:val="48FD3C10"/>
    <w:rsid w:val="48FE3575"/>
    <w:rsid w:val="490D334D"/>
    <w:rsid w:val="49156D12"/>
    <w:rsid w:val="49175BB2"/>
    <w:rsid w:val="491A0B7A"/>
    <w:rsid w:val="49275E94"/>
    <w:rsid w:val="492A3205"/>
    <w:rsid w:val="49341C2B"/>
    <w:rsid w:val="49346135"/>
    <w:rsid w:val="49346CF1"/>
    <w:rsid w:val="493B7E73"/>
    <w:rsid w:val="494A309B"/>
    <w:rsid w:val="494B3250"/>
    <w:rsid w:val="494C57CF"/>
    <w:rsid w:val="494D16C1"/>
    <w:rsid w:val="494F3B01"/>
    <w:rsid w:val="49522254"/>
    <w:rsid w:val="4959460B"/>
    <w:rsid w:val="49697F1E"/>
    <w:rsid w:val="497460AF"/>
    <w:rsid w:val="497911FF"/>
    <w:rsid w:val="4982676D"/>
    <w:rsid w:val="49885B53"/>
    <w:rsid w:val="49897B8B"/>
    <w:rsid w:val="49917ED1"/>
    <w:rsid w:val="499A5F6A"/>
    <w:rsid w:val="499B0F3B"/>
    <w:rsid w:val="49A62D72"/>
    <w:rsid w:val="49C90AD8"/>
    <w:rsid w:val="49CA7E3C"/>
    <w:rsid w:val="49D9493E"/>
    <w:rsid w:val="49E05DCB"/>
    <w:rsid w:val="49F05969"/>
    <w:rsid w:val="49F50CB4"/>
    <w:rsid w:val="49FA578F"/>
    <w:rsid w:val="4A0028F7"/>
    <w:rsid w:val="4A05296D"/>
    <w:rsid w:val="4A087489"/>
    <w:rsid w:val="4A1D610B"/>
    <w:rsid w:val="4A252CE8"/>
    <w:rsid w:val="4A27052F"/>
    <w:rsid w:val="4A2B1F5C"/>
    <w:rsid w:val="4A3E3618"/>
    <w:rsid w:val="4A6A2377"/>
    <w:rsid w:val="4A7435D3"/>
    <w:rsid w:val="4A824219"/>
    <w:rsid w:val="4A9713FB"/>
    <w:rsid w:val="4A9874AC"/>
    <w:rsid w:val="4A9947DA"/>
    <w:rsid w:val="4A997593"/>
    <w:rsid w:val="4AB220B5"/>
    <w:rsid w:val="4AB92365"/>
    <w:rsid w:val="4ABE07D2"/>
    <w:rsid w:val="4AC01BED"/>
    <w:rsid w:val="4AC1656E"/>
    <w:rsid w:val="4AC24A28"/>
    <w:rsid w:val="4ACA6106"/>
    <w:rsid w:val="4ACB1D0F"/>
    <w:rsid w:val="4ACB52AD"/>
    <w:rsid w:val="4ACD1533"/>
    <w:rsid w:val="4AD547C8"/>
    <w:rsid w:val="4AD65BB3"/>
    <w:rsid w:val="4ADA3158"/>
    <w:rsid w:val="4AEE194A"/>
    <w:rsid w:val="4AF2252B"/>
    <w:rsid w:val="4AF440EF"/>
    <w:rsid w:val="4AF55326"/>
    <w:rsid w:val="4AF71C76"/>
    <w:rsid w:val="4B052FF4"/>
    <w:rsid w:val="4B12691B"/>
    <w:rsid w:val="4B192567"/>
    <w:rsid w:val="4B214770"/>
    <w:rsid w:val="4B216CC1"/>
    <w:rsid w:val="4B2249D6"/>
    <w:rsid w:val="4B230C6C"/>
    <w:rsid w:val="4B2D668C"/>
    <w:rsid w:val="4B330DED"/>
    <w:rsid w:val="4B342BB9"/>
    <w:rsid w:val="4B354361"/>
    <w:rsid w:val="4B3C784A"/>
    <w:rsid w:val="4B447281"/>
    <w:rsid w:val="4B4E6196"/>
    <w:rsid w:val="4B5065E5"/>
    <w:rsid w:val="4B572CCC"/>
    <w:rsid w:val="4B592E90"/>
    <w:rsid w:val="4B60501C"/>
    <w:rsid w:val="4B7417CD"/>
    <w:rsid w:val="4B7A6EA5"/>
    <w:rsid w:val="4B853EFA"/>
    <w:rsid w:val="4B8A5383"/>
    <w:rsid w:val="4BA85532"/>
    <w:rsid w:val="4BB340E6"/>
    <w:rsid w:val="4BC004F6"/>
    <w:rsid w:val="4BC358F1"/>
    <w:rsid w:val="4BCD4308"/>
    <w:rsid w:val="4BD21A4D"/>
    <w:rsid w:val="4BD732D2"/>
    <w:rsid w:val="4BDC289D"/>
    <w:rsid w:val="4BEE15B3"/>
    <w:rsid w:val="4BF5474B"/>
    <w:rsid w:val="4BF859A8"/>
    <w:rsid w:val="4BFD4DB2"/>
    <w:rsid w:val="4BFF1FE2"/>
    <w:rsid w:val="4C0C70D3"/>
    <w:rsid w:val="4C16576D"/>
    <w:rsid w:val="4C1F4638"/>
    <w:rsid w:val="4C294498"/>
    <w:rsid w:val="4C2B4F79"/>
    <w:rsid w:val="4C385A40"/>
    <w:rsid w:val="4C417A77"/>
    <w:rsid w:val="4C4B3831"/>
    <w:rsid w:val="4C4C7AFC"/>
    <w:rsid w:val="4C5767DF"/>
    <w:rsid w:val="4C576C2D"/>
    <w:rsid w:val="4C5A5543"/>
    <w:rsid w:val="4C6043D8"/>
    <w:rsid w:val="4C6A698D"/>
    <w:rsid w:val="4C733163"/>
    <w:rsid w:val="4C7E62D9"/>
    <w:rsid w:val="4C82761E"/>
    <w:rsid w:val="4C8B2F3A"/>
    <w:rsid w:val="4C946C54"/>
    <w:rsid w:val="4C993D7A"/>
    <w:rsid w:val="4C9A15FF"/>
    <w:rsid w:val="4C9A2D03"/>
    <w:rsid w:val="4C9B1226"/>
    <w:rsid w:val="4CA321E7"/>
    <w:rsid w:val="4CB0362C"/>
    <w:rsid w:val="4CB63AA4"/>
    <w:rsid w:val="4CB96134"/>
    <w:rsid w:val="4CBA6BE7"/>
    <w:rsid w:val="4CBB7B02"/>
    <w:rsid w:val="4CC21522"/>
    <w:rsid w:val="4CC45A83"/>
    <w:rsid w:val="4CC86E7D"/>
    <w:rsid w:val="4CD00124"/>
    <w:rsid w:val="4CDD3294"/>
    <w:rsid w:val="4CDF20E7"/>
    <w:rsid w:val="4CE23A28"/>
    <w:rsid w:val="4CE679D2"/>
    <w:rsid w:val="4CEC20EC"/>
    <w:rsid w:val="4CF73AC7"/>
    <w:rsid w:val="4CF850CA"/>
    <w:rsid w:val="4CFB4906"/>
    <w:rsid w:val="4D027F4E"/>
    <w:rsid w:val="4D04433E"/>
    <w:rsid w:val="4D066A1E"/>
    <w:rsid w:val="4D0A08FF"/>
    <w:rsid w:val="4D111DEA"/>
    <w:rsid w:val="4D124624"/>
    <w:rsid w:val="4D127CC4"/>
    <w:rsid w:val="4D15653E"/>
    <w:rsid w:val="4D1A17B3"/>
    <w:rsid w:val="4D25571F"/>
    <w:rsid w:val="4D2824E9"/>
    <w:rsid w:val="4D3044C7"/>
    <w:rsid w:val="4D361251"/>
    <w:rsid w:val="4D44774F"/>
    <w:rsid w:val="4D4B58A5"/>
    <w:rsid w:val="4D54029B"/>
    <w:rsid w:val="4D5454CB"/>
    <w:rsid w:val="4D5C0221"/>
    <w:rsid w:val="4D627203"/>
    <w:rsid w:val="4D66006E"/>
    <w:rsid w:val="4D6C3B9E"/>
    <w:rsid w:val="4D6D5F70"/>
    <w:rsid w:val="4D6F423D"/>
    <w:rsid w:val="4D8674BE"/>
    <w:rsid w:val="4D8B066E"/>
    <w:rsid w:val="4D901995"/>
    <w:rsid w:val="4D910B02"/>
    <w:rsid w:val="4D9C0712"/>
    <w:rsid w:val="4D9C209F"/>
    <w:rsid w:val="4DA06A38"/>
    <w:rsid w:val="4DAE71D6"/>
    <w:rsid w:val="4DB1089E"/>
    <w:rsid w:val="4DC30DD5"/>
    <w:rsid w:val="4DC3357A"/>
    <w:rsid w:val="4DCC477D"/>
    <w:rsid w:val="4DCF2096"/>
    <w:rsid w:val="4DD806AE"/>
    <w:rsid w:val="4DE43F03"/>
    <w:rsid w:val="4DE75087"/>
    <w:rsid w:val="4DEB5692"/>
    <w:rsid w:val="4DF1798D"/>
    <w:rsid w:val="4DF17B7F"/>
    <w:rsid w:val="4DF62A72"/>
    <w:rsid w:val="4DF71177"/>
    <w:rsid w:val="4DFC46B5"/>
    <w:rsid w:val="4DFD334F"/>
    <w:rsid w:val="4E015F8B"/>
    <w:rsid w:val="4E085752"/>
    <w:rsid w:val="4E0A7662"/>
    <w:rsid w:val="4E0C7814"/>
    <w:rsid w:val="4E1159C0"/>
    <w:rsid w:val="4E1247BC"/>
    <w:rsid w:val="4E15259A"/>
    <w:rsid w:val="4E163912"/>
    <w:rsid w:val="4E192019"/>
    <w:rsid w:val="4E1A6363"/>
    <w:rsid w:val="4E1C4AEB"/>
    <w:rsid w:val="4E283BF9"/>
    <w:rsid w:val="4E351439"/>
    <w:rsid w:val="4E3F2E3C"/>
    <w:rsid w:val="4E48231E"/>
    <w:rsid w:val="4E49584E"/>
    <w:rsid w:val="4E4D1D53"/>
    <w:rsid w:val="4E546816"/>
    <w:rsid w:val="4E5D191D"/>
    <w:rsid w:val="4E797366"/>
    <w:rsid w:val="4E7A2E8A"/>
    <w:rsid w:val="4E9373C0"/>
    <w:rsid w:val="4E95037A"/>
    <w:rsid w:val="4E9B1A31"/>
    <w:rsid w:val="4EA46C4A"/>
    <w:rsid w:val="4EA6083B"/>
    <w:rsid w:val="4EAB62F0"/>
    <w:rsid w:val="4EBB6FFE"/>
    <w:rsid w:val="4EC56069"/>
    <w:rsid w:val="4ED75DAE"/>
    <w:rsid w:val="4EDC6097"/>
    <w:rsid w:val="4EDF1911"/>
    <w:rsid w:val="4EE105D0"/>
    <w:rsid w:val="4EE42B5C"/>
    <w:rsid w:val="4EE66590"/>
    <w:rsid w:val="4EE7009D"/>
    <w:rsid w:val="4EE859EE"/>
    <w:rsid w:val="4EFA5D6D"/>
    <w:rsid w:val="4EFB4E8F"/>
    <w:rsid w:val="4EFD6A5C"/>
    <w:rsid w:val="4EFE1B01"/>
    <w:rsid w:val="4F074A59"/>
    <w:rsid w:val="4F08177C"/>
    <w:rsid w:val="4F082513"/>
    <w:rsid w:val="4F092C81"/>
    <w:rsid w:val="4F0D4F13"/>
    <w:rsid w:val="4F0E036D"/>
    <w:rsid w:val="4F191F1A"/>
    <w:rsid w:val="4F1C5302"/>
    <w:rsid w:val="4F2C1A89"/>
    <w:rsid w:val="4F2D09CA"/>
    <w:rsid w:val="4F2F54B5"/>
    <w:rsid w:val="4F375EA2"/>
    <w:rsid w:val="4F386432"/>
    <w:rsid w:val="4F3D05DF"/>
    <w:rsid w:val="4F3F4604"/>
    <w:rsid w:val="4F49795E"/>
    <w:rsid w:val="4F4F0440"/>
    <w:rsid w:val="4F5D0CE7"/>
    <w:rsid w:val="4F632DB7"/>
    <w:rsid w:val="4F6828F3"/>
    <w:rsid w:val="4F713CF7"/>
    <w:rsid w:val="4F745890"/>
    <w:rsid w:val="4F7702EF"/>
    <w:rsid w:val="4F7B55C1"/>
    <w:rsid w:val="4F7B6C2F"/>
    <w:rsid w:val="4F802644"/>
    <w:rsid w:val="4F83073F"/>
    <w:rsid w:val="4F8462E8"/>
    <w:rsid w:val="4F882033"/>
    <w:rsid w:val="4F88261B"/>
    <w:rsid w:val="4F967CF0"/>
    <w:rsid w:val="4F9A2A5B"/>
    <w:rsid w:val="4FB140AE"/>
    <w:rsid w:val="4FB76356"/>
    <w:rsid w:val="4FC46A5C"/>
    <w:rsid w:val="4FCC1960"/>
    <w:rsid w:val="4FCD1937"/>
    <w:rsid w:val="4FDC5106"/>
    <w:rsid w:val="4FEA2E06"/>
    <w:rsid w:val="4FEA6C65"/>
    <w:rsid w:val="4FEE5B0F"/>
    <w:rsid w:val="4FEF5594"/>
    <w:rsid w:val="4FF18F56"/>
    <w:rsid w:val="4FF6565E"/>
    <w:rsid w:val="4FFA4D6D"/>
    <w:rsid w:val="500A2552"/>
    <w:rsid w:val="50131C60"/>
    <w:rsid w:val="501723E6"/>
    <w:rsid w:val="501B2A8D"/>
    <w:rsid w:val="501D6123"/>
    <w:rsid w:val="50296286"/>
    <w:rsid w:val="502D02A0"/>
    <w:rsid w:val="503134C2"/>
    <w:rsid w:val="50396587"/>
    <w:rsid w:val="503B1382"/>
    <w:rsid w:val="503F7162"/>
    <w:rsid w:val="504064B9"/>
    <w:rsid w:val="50464B15"/>
    <w:rsid w:val="50486E0E"/>
    <w:rsid w:val="50503321"/>
    <w:rsid w:val="505A4A97"/>
    <w:rsid w:val="50692A7A"/>
    <w:rsid w:val="50696D44"/>
    <w:rsid w:val="50701778"/>
    <w:rsid w:val="5075104B"/>
    <w:rsid w:val="5075687D"/>
    <w:rsid w:val="5077539B"/>
    <w:rsid w:val="5077563B"/>
    <w:rsid w:val="507852DF"/>
    <w:rsid w:val="50827079"/>
    <w:rsid w:val="50866AC3"/>
    <w:rsid w:val="508A07B8"/>
    <w:rsid w:val="508E2EF0"/>
    <w:rsid w:val="50900126"/>
    <w:rsid w:val="509C7C29"/>
    <w:rsid w:val="50A2127B"/>
    <w:rsid w:val="50A32FC8"/>
    <w:rsid w:val="50B614C2"/>
    <w:rsid w:val="50B653B5"/>
    <w:rsid w:val="50C67387"/>
    <w:rsid w:val="50C729A4"/>
    <w:rsid w:val="50C74476"/>
    <w:rsid w:val="50CA63A1"/>
    <w:rsid w:val="50DC6EF1"/>
    <w:rsid w:val="50E41082"/>
    <w:rsid w:val="50F66EF4"/>
    <w:rsid w:val="50F96C4E"/>
    <w:rsid w:val="50FA20DD"/>
    <w:rsid w:val="50FA2CE9"/>
    <w:rsid w:val="51031DC2"/>
    <w:rsid w:val="5104147F"/>
    <w:rsid w:val="51062B55"/>
    <w:rsid w:val="51075C61"/>
    <w:rsid w:val="511835E5"/>
    <w:rsid w:val="511968AA"/>
    <w:rsid w:val="511C68EB"/>
    <w:rsid w:val="51233865"/>
    <w:rsid w:val="51240121"/>
    <w:rsid w:val="51282BDC"/>
    <w:rsid w:val="51293D18"/>
    <w:rsid w:val="512C327D"/>
    <w:rsid w:val="51327402"/>
    <w:rsid w:val="51404F78"/>
    <w:rsid w:val="514329D6"/>
    <w:rsid w:val="5144546C"/>
    <w:rsid w:val="514532E2"/>
    <w:rsid w:val="514714A8"/>
    <w:rsid w:val="5147331D"/>
    <w:rsid w:val="515A1013"/>
    <w:rsid w:val="515F7317"/>
    <w:rsid w:val="51663591"/>
    <w:rsid w:val="517B0723"/>
    <w:rsid w:val="518D3959"/>
    <w:rsid w:val="51904C47"/>
    <w:rsid w:val="51A279CE"/>
    <w:rsid w:val="51A5718F"/>
    <w:rsid w:val="51AA5EE3"/>
    <w:rsid w:val="51AC042E"/>
    <w:rsid w:val="51AE2C09"/>
    <w:rsid w:val="51B4034E"/>
    <w:rsid w:val="51B67C18"/>
    <w:rsid w:val="51B844C3"/>
    <w:rsid w:val="51BB2F03"/>
    <w:rsid w:val="51BD5012"/>
    <w:rsid w:val="51C16B27"/>
    <w:rsid w:val="51C2358B"/>
    <w:rsid w:val="51D857FB"/>
    <w:rsid w:val="51DD07C4"/>
    <w:rsid w:val="51DF5E42"/>
    <w:rsid w:val="51DF6C8E"/>
    <w:rsid w:val="51E92702"/>
    <w:rsid w:val="51EA5164"/>
    <w:rsid w:val="51EE1CAB"/>
    <w:rsid w:val="51EE1CAE"/>
    <w:rsid w:val="51FD7C8D"/>
    <w:rsid w:val="51FE6725"/>
    <w:rsid w:val="52056978"/>
    <w:rsid w:val="520D1F5C"/>
    <w:rsid w:val="520F6693"/>
    <w:rsid w:val="5218388D"/>
    <w:rsid w:val="521B0709"/>
    <w:rsid w:val="521F5463"/>
    <w:rsid w:val="522516C6"/>
    <w:rsid w:val="522C3822"/>
    <w:rsid w:val="522F4A99"/>
    <w:rsid w:val="523503EF"/>
    <w:rsid w:val="523823D9"/>
    <w:rsid w:val="523A7964"/>
    <w:rsid w:val="523B5943"/>
    <w:rsid w:val="524B64AA"/>
    <w:rsid w:val="52502DC9"/>
    <w:rsid w:val="52547186"/>
    <w:rsid w:val="525C2685"/>
    <w:rsid w:val="526B2DEC"/>
    <w:rsid w:val="526B5EEE"/>
    <w:rsid w:val="52784A3E"/>
    <w:rsid w:val="527D67A7"/>
    <w:rsid w:val="528B6AC9"/>
    <w:rsid w:val="52923561"/>
    <w:rsid w:val="529C1A11"/>
    <w:rsid w:val="52AF3F38"/>
    <w:rsid w:val="52B27210"/>
    <w:rsid w:val="52B33948"/>
    <w:rsid w:val="52B523CF"/>
    <w:rsid w:val="52B63DC9"/>
    <w:rsid w:val="52BD745C"/>
    <w:rsid w:val="52C93BBE"/>
    <w:rsid w:val="52D01714"/>
    <w:rsid w:val="52D05D9C"/>
    <w:rsid w:val="52DF5A77"/>
    <w:rsid w:val="52E2402D"/>
    <w:rsid w:val="52EF180E"/>
    <w:rsid w:val="52EF45CD"/>
    <w:rsid w:val="530715FB"/>
    <w:rsid w:val="53076951"/>
    <w:rsid w:val="53134163"/>
    <w:rsid w:val="5315685E"/>
    <w:rsid w:val="531F6654"/>
    <w:rsid w:val="53297E57"/>
    <w:rsid w:val="532E5AAF"/>
    <w:rsid w:val="53301E09"/>
    <w:rsid w:val="533343E7"/>
    <w:rsid w:val="533F38E7"/>
    <w:rsid w:val="5341249F"/>
    <w:rsid w:val="53420089"/>
    <w:rsid w:val="534C79BB"/>
    <w:rsid w:val="534F0426"/>
    <w:rsid w:val="5368399D"/>
    <w:rsid w:val="536D1C79"/>
    <w:rsid w:val="536E0EF5"/>
    <w:rsid w:val="537D23DD"/>
    <w:rsid w:val="5382623D"/>
    <w:rsid w:val="5384469F"/>
    <w:rsid w:val="53871AB1"/>
    <w:rsid w:val="538D6A67"/>
    <w:rsid w:val="539802F4"/>
    <w:rsid w:val="539D2ACB"/>
    <w:rsid w:val="53A64776"/>
    <w:rsid w:val="53A74C89"/>
    <w:rsid w:val="53AB3C93"/>
    <w:rsid w:val="53AC48CA"/>
    <w:rsid w:val="53B14D18"/>
    <w:rsid w:val="53B33D92"/>
    <w:rsid w:val="53C12731"/>
    <w:rsid w:val="53CA4DAF"/>
    <w:rsid w:val="53CF5237"/>
    <w:rsid w:val="53D206D4"/>
    <w:rsid w:val="53D20731"/>
    <w:rsid w:val="53D224D9"/>
    <w:rsid w:val="53D82FCB"/>
    <w:rsid w:val="53DA6ABC"/>
    <w:rsid w:val="53DC39E3"/>
    <w:rsid w:val="53E27E4A"/>
    <w:rsid w:val="53E355BF"/>
    <w:rsid w:val="53E61847"/>
    <w:rsid w:val="53E8282F"/>
    <w:rsid w:val="53E857A6"/>
    <w:rsid w:val="53EC1F2D"/>
    <w:rsid w:val="53F86054"/>
    <w:rsid w:val="53FE340A"/>
    <w:rsid w:val="54030FA1"/>
    <w:rsid w:val="54042749"/>
    <w:rsid w:val="54084368"/>
    <w:rsid w:val="540E3ABB"/>
    <w:rsid w:val="54104CF7"/>
    <w:rsid w:val="54174D5D"/>
    <w:rsid w:val="54187592"/>
    <w:rsid w:val="543747E4"/>
    <w:rsid w:val="543A488D"/>
    <w:rsid w:val="543B76CE"/>
    <w:rsid w:val="543F7743"/>
    <w:rsid w:val="54441F03"/>
    <w:rsid w:val="5458604D"/>
    <w:rsid w:val="545A1FDD"/>
    <w:rsid w:val="545B4B40"/>
    <w:rsid w:val="5465700C"/>
    <w:rsid w:val="54684A59"/>
    <w:rsid w:val="54691433"/>
    <w:rsid w:val="54691640"/>
    <w:rsid w:val="546F42E0"/>
    <w:rsid w:val="54735790"/>
    <w:rsid w:val="547B31AE"/>
    <w:rsid w:val="54805AA2"/>
    <w:rsid w:val="54820F7A"/>
    <w:rsid w:val="54881F94"/>
    <w:rsid w:val="549162E6"/>
    <w:rsid w:val="54921106"/>
    <w:rsid w:val="54954EAC"/>
    <w:rsid w:val="54970570"/>
    <w:rsid w:val="549D7DE1"/>
    <w:rsid w:val="549E4A99"/>
    <w:rsid w:val="54A00AB1"/>
    <w:rsid w:val="54A062B7"/>
    <w:rsid w:val="54A654EA"/>
    <w:rsid w:val="54A83BEB"/>
    <w:rsid w:val="54A8477F"/>
    <w:rsid w:val="54AF6C94"/>
    <w:rsid w:val="54B03A20"/>
    <w:rsid w:val="54B93795"/>
    <w:rsid w:val="54C01839"/>
    <w:rsid w:val="54C10289"/>
    <w:rsid w:val="54C33704"/>
    <w:rsid w:val="54D34073"/>
    <w:rsid w:val="54D46D2D"/>
    <w:rsid w:val="54E3089A"/>
    <w:rsid w:val="54E462F6"/>
    <w:rsid w:val="54F54AD8"/>
    <w:rsid w:val="55050054"/>
    <w:rsid w:val="550849A8"/>
    <w:rsid w:val="550875D8"/>
    <w:rsid w:val="550B06CA"/>
    <w:rsid w:val="550C5474"/>
    <w:rsid w:val="55100448"/>
    <w:rsid w:val="551232C8"/>
    <w:rsid w:val="55201E14"/>
    <w:rsid w:val="55230BAB"/>
    <w:rsid w:val="55294FFC"/>
    <w:rsid w:val="552C5FEB"/>
    <w:rsid w:val="553B448E"/>
    <w:rsid w:val="553D1974"/>
    <w:rsid w:val="554057BF"/>
    <w:rsid w:val="554376C8"/>
    <w:rsid w:val="554B2788"/>
    <w:rsid w:val="554E0A19"/>
    <w:rsid w:val="554F0D7B"/>
    <w:rsid w:val="55564942"/>
    <w:rsid w:val="555E3675"/>
    <w:rsid w:val="55605D8B"/>
    <w:rsid w:val="55656CD2"/>
    <w:rsid w:val="556A2415"/>
    <w:rsid w:val="557263B3"/>
    <w:rsid w:val="5575623A"/>
    <w:rsid w:val="55792873"/>
    <w:rsid w:val="557A3FBC"/>
    <w:rsid w:val="557E3457"/>
    <w:rsid w:val="55812DCB"/>
    <w:rsid w:val="5582442D"/>
    <w:rsid w:val="558D6B82"/>
    <w:rsid w:val="55943888"/>
    <w:rsid w:val="5595251E"/>
    <w:rsid w:val="559F786F"/>
    <w:rsid w:val="55A9750D"/>
    <w:rsid w:val="55A9784C"/>
    <w:rsid w:val="55AC794C"/>
    <w:rsid w:val="55AD28F4"/>
    <w:rsid w:val="55AE5163"/>
    <w:rsid w:val="55B62F64"/>
    <w:rsid w:val="55BD4F0C"/>
    <w:rsid w:val="55CF49E3"/>
    <w:rsid w:val="55D01BC1"/>
    <w:rsid w:val="55D52C8E"/>
    <w:rsid w:val="55E32F66"/>
    <w:rsid w:val="55F70AB6"/>
    <w:rsid w:val="55F962A8"/>
    <w:rsid w:val="55FA480F"/>
    <w:rsid w:val="55FF3C96"/>
    <w:rsid w:val="560010ED"/>
    <w:rsid w:val="56007468"/>
    <w:rsid w:val="560A1E7A"/>
    <w:rsid w:val="560C20A5"/>
    <w:rsid w:val="5613570C"/>
    <w:rsid w:val="56280FE1"/>
    <w:rsid w:val="562C2FA6"/>
    <w:rsid w:val="562E13B9"/>
    <w:rsid w:val="562F6BDF"/>
    <w:rsid w:val="56312196"/>
    <w:rsid w:val="56353E08"/>
    <w:rsid w:val="56362C3B"/>
    <w:rsid w:val="564B4F61"/>
    <w:rsid w:val="564C6A6F"/>
    <w:rsid w:val="564D7C06"/>
    <w:rsid w:val="56506BA6"/>
    <w:rsid w:val="56553D47"/>
    <w:rsid w:val="565D2C05"/>
    <w:rsid w:val="565D32EE"/>
    <w:rsid w:val="565D3364"/>
    <w:rsid w:val="56682B4C"/>
    <w:rsid w:val="5668633D"/>
    <w:rsid w:val="566A2966"/>
    <w:rsid w:val="566D65BC"/>
    <w:rsid w:val="566E34F7"/>
    <w:rsid w:val="56707213"/>
    <w:rsid w:val="5677517B"/>
    <w:rsid w:val="56864899"/>
    <w:rsid w:val="56882964"/>
    <w:rsid w:val="568E5C2E"/>
    <w:rsid w:val="56946918"/>
    <w:rsid w:val="569729AC"/>
    <w:rsid w:val="569D0DCD"/>
    <w:rsid w:val="56A01440"/>
    <w:rsid w:val="56A05E75"/>
    <w:rsid w:val="56A45541"/>
    <w:rsid w:val="56AE36DC"/>
    <w:rsid w:val="56B23FA6"/>
    <w:rsid w:val="56B97B29"/>
    <w:rsid w:val="56BD4880"/>
    <w:rsid w:val="56BD68D6"/>
    <w:rsid w:val="56BF385F"/>
    <w:rsid w:val="56C210AA"/>
    <w:rsid w:val="56CE7C8A"/>
    <w:rsid w:val="56D13A0A"/>
    <w:rsid w:val="56D20120"/>
    <w:rsid w:val="56D20AA8"/>
    <w:rsid w:val="56D257B6"/>
    <w:rsid w:val="56D57F50"/>
    <w:rsid w:val="56DD4FE0"/>
    <w:rsid w:val="56E06ED2"/>
    <w:rsid w:val="56E65453"/>
    <w:rsid w:val="56E83278"/>
    <w:rsid w:val="56EC6164"/>
    <w:rsid w:val="56EF40DD"/>
    <w:rsid w:val="57015ED5"/>
    <w:rsid w:val="57023C45"/>
    <w:rsid w:val="570E186A"/>
    <w:rsid w:val="570E5D16"/>
    <w:rsid w:val="57110C6D"/>
    <w:rsid w:val="571254F7"/>
    <w:rsid w:val="5713500C"/>
    <w:rsid w:val="5720074D"/>
    <w:rsid w:val="57243036"/>
    <w:rsid w:val="57257327"/>
    <w:rsid w:val="57277E81"/>
    <w:rsid w:val="573336BE"/>
    <w:rsid w:val="573548EE"/>
    <w:rsid w:val="5738059C"/>
    <w:rsid w:val="573A2CA8"/>
    <w:rsid w:val="573B06C9"/>
    <w:rsid w:val="573E731E"/>
    <w:rsid w:val="573F19E9"/>
    <w:rsid w:val="5749293B"/>
    <w:rsid w:val="575C7A3D"/>
    <w:rsid w:val="575D3CB3"/>
    <w:rsid w:val="57691269"/>
    <w:rsid w:val="576F386E"/>
    <w:rsid w:val="577A61C4"/>
    <w:rsid w:val="577B6220"/>
    <w:rsid w:val="577C648F"/>
    <w:rsid w:val="578042DA"/>
    <w:rsid w:val="57865597"/>
    <w:rsid w:val="578A4CF8"/>
    <w:rsid w:val="57952351"/>
    <w:rsid w:val="579C419F"/>
    <w:rsid w:val="579E3D52"/>
    <w:rsid w:val="57A90039"/>
    <w:rsid w:val="57AF4D0A"/>
    <w:rsid w:val="57B27112"/>
    <w:rsid w:val="57B738E0"/>
    <w:rsid w:val="57B90017"/>
    <w:rsid w:val="57BC7E22"/>
    <w:rsid w:val="57C80109"/>
    <w:rsid w:val="57CA6B58"/>
    <w:rsid w:val="57CD0996"/>
    <w:rsid w:val="57D00B4D"/>
    <w:rsid w:val="57D30E73"/>
    <w:rsid w:val="57D3757D"/>
    <w:rsid w:val="57D51907"/>
    <w:rsid w:val="57DD4CF2"/>
    <w:rsid w:val="57E011FA"/>
    <w:rsid w:val="57E959DE"/>
    <w:rsid w:val="57F82426"/>
    <w:rsid w:val="57FA4253"/>
    <w:rsid w:val="57FF37AB"/>
    <w:rsid w:val="57FF4869"/>
    <w:rsid w:val="580F0F11"/>
    <w:rsid w:val="58126C19"/>
    <w:rsid w:val="581663A7"/>
    <w:rsid w:val="582151CD"/>
    <w:rsid w:val="583339EA"/>
    <w:rsid w:val="5843460F"/>
    <w:rsid w:val="585144AA"/>
    <w:rsid w:val="58547905"/>
    <w:rsid w:val="58567D64"/>
    <w:rsid w:val="585B49FB"/>
    <w:rsid w:val="58651B4D"/>
    <w:rsid w:val="586578BF"/>
    <w:rsid w:val="58730A21"/>
    <w:rsid w:val="587A70C6"/>
    <w:rsid w:val="587D1E66"/>
    <w:rsid w:val="588316E2"/>
    <w:rsid w:val="588D7EB4"/>
    <w:rsid w:val="58906316"/>
    <w:rsid w:val="589947D3"/>
    <w:rsid w:val="589D11EC"/>
    <w:rsid w:val="58A75020"/>
    <w:rsid w:val="58A76DA4"/>
    <w:rsid w:val="58BA3264"/>
    <w:rsid w:val="58BC77FB"/>
    <w:rsid w:val="58C0349D"/>
    <w:rsid w:val="58C94687"/>
    <w:rsid w:val="58DB261D"/>
    <w:rsid w:val="58DD7439"/>
    <w:rsid w:val="58DE49F6"/>
    <w:rsid w:val="58F7247A"/>
    <w:rsid w:val="590413BD"/>
    <w:rsid w:val="59054070"/>
    <w:rsid w:val="5919583D"/>
    <w:rsid w:val="5919795C"/>
    <w:rsid w:val="591A7026"/>
    <w:rsid w:val="59232537"/>
    <w:rsid w:val="59294030"/>
    <w:rsid w:val="592F245D"/>
    <w:rsid w:val="59347A29"/>
    <w:rsid w:val="593D3B58"/>
    <w:rsid w:val="593D58B6"/>
    <w:rsid w:val="59440619"/>
    <w:rsid w:val="594720D1"/>
    <w:rsid w:val="59570C35"/>
    <w:rsid w:val="596326A9"/>
    <w:rsid w:val="59664864"/>
    <w:rsid w:val="596759AB"/>
    <w:rsid w:val="59700257"/>
    <w:rsid w:val="5971561F"/>
    <w:rsid w:val="59724E0E"/>
    <w:rsid w:val="597252E0"/>
    <w:rsid w:val="597B5954"/>
    <w:rsid w:val="597D3815"/>
    <w:rsid w:val="59830A4E"/>
    <w:rsid w:val="59834804"/>
    <w:rsid w:val="59907A1F"/>
    <w:rsid w:val="599101A7"/>
    <w:rsid w:val="5993497F"/>
    <w:rsid w:val="599D20A2"/>
    <w:rsid w:val="59AC2366"/>
    <w:rsid w:val="59AF271B"/>
    <w:rsid w:val="59BE4A8E"/>
    <w:rsid w:val="59C002E3"/>
    <w:rsid w:val="59C00CFC"/>
    <w:rsid w:val="59C14679"/>
    <w:rsid w:val="59C526DE"/>
    <w:rsid w:val="59C902A9"/>
    <w:rsid w:val="59D05B7C"/>
    <w:rsid w:val="59D216F2"/>
    <w:rsid w:val="59D83C47"/>
    <w:rsid w:val="59D959D8"/>
    <w:rsid w:val="59DA2275"/>
    <w:rsid w:val="59DE34E6"/>
    <w:rsid w:val="59E01845"/>
    <w:rsid w:val="59E1260A"/>
    <w:rsid w:val="59E161FB"/>
    <w:rsid w:val="59E505F7"/>
    <w:rsid w:val="59E50970"/>
    <w:rsid w:val="59E75D47"/>
    <w:rsid w:val="59E90380"/>
    <w:rsid w:val="59E907AB"/>
    <w:rsid w:val="59EF44CD"/>
    <w:rsid w:val="59FF00D1"/>
    <w:rsid w:val="5A051060"/>
    <w:rsid w:val="5A0A11BC"/>
    <w:rsid w:val="5A0C6FB6"/>
    <w:rsid w:val="5A1560F8"/>
    <w:rsid w:val="5A17068E"/>
    <w:rsid w:val="5A181690"/>
    <w:rsid w:val="5A1F739C"/>
    <w:rsid w:val="5A20482B"/>
    <w:rsid w:val="5A297734"/>
    <w:rsid w:val="5A3E782B"/>
    <w:rsid w:val="5A3F794F"/>
    <w:rsid w:val="5A4221F6"/>
    <w:rsid w:val="5A4433AC"/>
    <w:rsid w:val="5A4F57C5"/>
    <w:rsid w:val="5A4F5EE1"/>
    <w:rsid w:val="5A5665CD"/>
    <w:rsid w:val="5A593148"/>
    <w:rsid w:val="5A5A2275"/>
    <w:rsid w:val="5A5B3C68"/>
    <w:rsid w:val="5A5E0CAD"/>
    <w:rsid w:val="5A604B4C"/>
    <w:rsid w:val="5A620DD5"/>
    <w:rsid w:val="5A666B43"/>
    <w:rsid w:val="5A6A1E53"/>
    <w:rsid w:val="5A6E5F01"/>
    <w:rsid w:val="5A7F23D0"/>
    <w:rsid w:val="5A812DC1"/>
    <w:rsid w:val="5A8836F0"/>
    <w:rsid w:val="5A89045B"/>
    <w:rsid w:val="5A8A5A34"/>
    <w:rsid w:val="5A947631"/>
    <w:rsid w:val="5A9C5265"/>
    <w:rsid w:val="5A9F0AFF"/>
    <w:rsid w:val="5A9F1F6A"/>
    <w:rsid w:val="5AA37336"/>
    <w:rsid w:val="5AAE1E87"/>
    <w:rsid w:val="5AB7056C"/>
    <w:rsid w:val="5ABB385B"/>
    <w:rsid w:val="5AC52B1D"/>
    <w:rsid w:val="5ACC337C"/>
    <w:rsid w:val="5ACF442D"/>
    <w:rsid w:val="5AD22E75"/>
    <w:rsid w:val="5AD87740"/>
    <w:rsid w:val="5ADB4B04"/>
    <w:rsid w:val="5AE67D49"/>
    <w:rsid w:val="5AE86EE3"/>
    <w:rsid w:val="5AE92239"/>
    <w:rsid w:val="5AEC2ADA"/>
    <w:rsid w:val="5AEC2BE4"/>
    <w:rsid w:val="5AED24DD"/>
    <w:rsid w:val="5AEF299E"/>
    <w:rsid w:val="5AF2382A"/>
    <w:rsid w:val="5AF43314"/>
    <w:rsid w:val="5B0245E3"/>
    <w:rsid w:val="5B0604A3"/>
    <w:rsid w:val="5B094C19"/>
    <w:rsid w:val="5B0E0834"/>
    <w:rsid w:val="5B0F5634"/>
    <w:rsid w:val="5B1223E2"/>
    <w:rsid w:val="5B162801"/>
    <w:rsid w:val="5B247BFB"/>
    <w:rsid w:val="5B2B0380"/>
    <w:rsid w:val="5B337168"/>
    <w:rsid w:val="5B344D84"/>
    <w:rsid w:val="5B3A4721"/>
    <w:rsid w:val="5B52326E"/>
    <w:rsid w:val="5B565B4F"/>
    <w:rsid w:val="5B585CC5"/>
    <w:rsid w:val="5B5911EA"/>
    <w:rsid w:val="5B5A6A1E"/>
    <w:rsid w:val="5B5B6C7F"/>
    <w:rsid w:val="5B5F167F"/>
    <w:rsid w:val="5B6C6345"/>
    <w:rsid w:val="5B73596C"/>
    <w:rsid w:val="5B7D2062"/>
    <w:rsid w:val="5B7F7346"/>
    <w:rsid w:val="5B885656"/>
    <w:rsid w:val="5B8E3166"/>
    <w:rsid w:val="5B903475"/>
    <w:rsid w:val="5B95244C"/>
    <w:rsid w:val="5B961A09"/>
    <w:rsid w:val="5B982E7E"/>
    <w:rsid w:val="5B986E6F"/>
    <w:rsid w:val="5B9B660C"/>
    <w:rsid w:val="5B9F3860"/>
    <w:rsid w:val="5BA725B3"/>
    <w:rsid w:val="5BA9762C"/>
    <w:rsid w:val="5BAE3CF8"/>
    <w:rsid w:val="5BB3023B"/>
    <w:rsid w:val="5BB8241E"/>
    <w:rsid w:val="5BB93271"/>
    <w:rsid w:val="5BD1505A"/>
    <w:rsid w:val="5BD92BA9"/>
    <w:rsid w:val="5BDD29C3"/>
    <w:rsid w:val="5BDE6F14"/>
    <w:rsid w:val="5BEA4D38"/>
    <w:rsid w:val="5BF5245C"/>
    <w:rsid w:val="5BFB2C03"/>
    <w:rsid w:val="5C0D2BAC"/>
    <w:rsid w:val="5C0E106A"/>
    <w:rsid w:val="5C1202F0"/>
    <w:rsid w:val="5C15137F"/>
    <w:rsid w:val="5C17089D"/>
    <w:rsid w:val="5C18679F"/>
    <w:rsid w:val="5C1E0DBA"/>
    <w:rsid w:val="5C206FD5"/>
    <w:rsid w:val="5C3768BF"/>
    <w:rsid w:val="5C4A6360"/>
    <w:rsid w:val="5C512CCA"/>
    <w:rsid w:val="5C536519"/>
    <w:rsid w:val="5C536BCB"/>
    <w:rsid w:val="5C5D5A02"/>
    <w:rsid w:val="5C666CE0"/>
    <w:rsid w:val="5C752E46"/>
    <w:rsid w:val="5C784ED3"/>
    <w:rsid w:val="5C7D4D78"/>
    <w:rsid w:val="5C8046F6"/>
    <w:rsid w:val="5C812DA3"/>
    <w:rsid w:val="5C81304B"/>
    <w:rsid w:val="5C851DC2"/>
    <w:rsid w:val="5C901FBC"/>
    <w:rsid w:val="5C916F38"/>
    <w:rsid w:val="5C934DB5"/>
    <w:rsid w:val="5C9730C0"/>
    <w:rsid w:val="5CA31933"/>
    <w:rsid w:val="5CA52F08"/>
    <w:rsid w:val="5CA55250"/>
    <w:rsid w:val="5CA92690"/>
    <w:rsid w:val="5CB738B8"/>
    <w:rsid w:val="5CB7487F"/>
    <w:rsid w:val="5CBA2E24"/>
    <w:rsid w:val="5CBE4851"/>
    <w:rsid w:val="5CBF7942"/>
    <w:rsid w:val="5CC933C3"/>
    <w:rsid w:val="5CD80A4C"/>
    <w:rsid w:val="5CF22A1A"/>
    <w:rsid w:val="5CF3304A"/>
    <w:rsid w:val="5CF674F8"/>
    <w:rsid w:val="5CF97C9E"/>
    <w:rsid w:val="5D0C1414"/>
    <w:rsid w:val="5D101931"/>
    <w:rsid w:val="5D137261"/>
    <w:rsid w:val="5D147912"/>
    <w:rsid w:val="5D17336F"/>
    <w:rsid w:val="5D1A687B"/>
    <w:rsid w:val="5D1D427E"/>
    <w:rsid w:val="5D264FF5"/>
    <w:rsid w:val="5D27538E"/>
    <w:rsid w:val="5D2A7616"/>
    <w:rsid w:val="5D496240"/>
    <w:rsid w:val="5D4B7635"/>
    <w:rsid w:val="5D546EDA"/>
    <w:rsid w:val="5D5578C8"/>
    <w:rsid w:val="5D60610D"/>
    <w:rsid w:val="5D6507D3"/>
    <w:rsid w:val="5D6633C5"/>
    <w:rsid w:val="5D6719EE"/>
    <w:rsid w:val="5D677934"/>
    <w:rsid w:val="5D701A55"/>
    <w:rsid w:val="5D747EB4"/>
    <w:rsid w:val="5D760E05"/>
    <w:rsid w:val="5D800E7C"/>
    <w:rsid w:val="5D827F51"/>
    <w:rsid w:val="5D862A93"/>
    <w:rsid w:val="5D867492"/>
    <w:rsid w:val="5D885019"/>
    <w:rsid w:val="5D8E4A6C"/>
    <w:rsid w:val="5D8F3E02"/>
    <w:rsid w:val="5D9126BE"/>
    <w:rsid w:val="5DAD66F9"/>
    <w:rsid w:val="5DAF334A"/>
    <w:rsid w:val="5DB2784E"/>
    <w:rsid w:val="5DB40934"/>
    <w:rsid w:val="5DB57495"/>
    <w:rsid w:val="5DB85880"/>
    <w:rsid w:val="5DC3075F"/>
    <w:rsid w:val="5DCA46D2"/>
    <w:rsid w:val="5DCC216B"/>
    <w:rsid w:val="5DCE03FF"/>
    <w:rsid w:val="5DD07EF8"/>
    <w:rsid w:val="5DD15393"/>
    <w:rsid w:val="5DD3018F"/>
    <w:rsid w:val="5DD657C6"/>
    <w:rsid w:val="5DD67626"/>
    <w:rsid w:val="5DD73421"/>
    <w:rsid w:val="5DD73474"/>
    <w:rsid w:val="5DE22AF4"/>
    <w:rsid w:val="5DE93770"/>
    <w:rsid w:val="5DF14EB5"/>
    <w:rsid w:val="5DF93DCB"/>
    <w:rsid w:val="5E087EA2"/>
    <w:rsid w:val="5E0D67C6"/>
    <w:rsid w:val="5E231817"/>
    <w:rsid w:val="5E2775CA"/>
    <w:rsid w:val="5E294315"/>
    <w:rsid w:val="5E295856"/>
    <w:rsid w:val="5E2B48FE"/>
    <w:rsid w:val="5E330F25"/>
    <w:rsid w:val="5E35132D"/>
    <w:rsid w:val="5E49038C"/>
    <w:rsid w:val="5E4A1687"/>
    <w:rsid w:val="5E4E124A"/>
    <w:rsid w:val="5E6E2F82"/>
    <w:rsid w:val="5E801DFC"/>
    <w:rsid w:val="5E841F6A"/>
    <w:rsid w:val="5E842A2A"/>
    <w:rsid w:val="5E860060"/>
    <w:rsid w:val="5E8732C3"/>
    <w:rsid w:val="5E954B17"/>
    <w:rsid w:val="5EA5785A"/>
    <w:rsid w:val="5EB75779"/>
    <w:rsid w:val="5EBE7816"/>
    <w:rsid w:val="5EC030D5"/>
    <w:rsid w:val="5EC405DF"/>
    <w:rsid w:val="5EC824A5"/>
    <w:rsid w:val="5ECD663E"/>
    <w:rsid w:val="5ED358B4"/>
    <w:rsid w:val="5ED744EA"/>
    <w:rsid w:val="5ED90B49"/>
    <w:rsid w:val="5EDC1150"/>
    <w:rsid w:val="5EE24C8F"/>
    <w:rsid w:val="5EE457AA"/>
    <w:rsid w:val="5EE509E9"/>
    <w:rsid w:val="5EF54645"/>
    <w:rsid w:val="5F054905"/>
    <w:rsid w:val="5F0D5833"/>
    <w:rsid w:val="5F127126"/>
    <w:rsid w:val="5F133281"/>
    <w:rsid w:val="5F163472"/>
    <w:rsid w:val="5F196D78"/>
    <w:rsid w:val="5F1C12E9"/>
    <w:rsid w:val="5F221B23"/>
    <w:rsid w:val="5F2B03F6"/>
    <w:rsid w:val="5F300CEC"/>
    <w:rsid w:val="5F3130F9"/>
    <w:rsid w:val="5F357F56"/>
    <w:rsid w:val="5F3636C3"/>
    <w:rsid w:val="5F3C4337"/>
    <w:rsid w:val="5F407373"/>
    <w:rsid w:val="5F425933"/>
    <w:rsid w:val="5F437782"/>
    <w:rsid w:val="5F446177"/>
    <w:rsid w:val="5F45628C"/>
    <w:rsid w:val="5F462070"/>
    <w:rsid w:val="5F494C21"/>
    <w:rsid w:val="5F4C1967"/>
    <w:rsid w:val="5F4C40F2"/>
    <w:rsid w:val="5F5536AE"/>
    <w:rsid w:val="5F5A2AFF"/>
    <w:rsid w:val="5F61309C"/>
    <w:rsid w:val="5F675362"/>
    <w:rsid w:val="5F6C5A55"/>
    <w:rsid w:val="5F71721A"/>
    <w:rsid w:val="5F76465B"/>
    <w:rsid w:val="5F7706AE"/>
    <w:rsid w:val="5F7E19A1"/>
    <w:rsid w:val="5F7F27E6"/>
    <w:rsid w:val="5F881135"/>
    <w:rsid w:val="5F893EE9"/>
    <w:rsid w:val="5F8D0E05"/>
    <w:rsid w:val="5F8F64F1"/>
    <w:rsid w:val="5F94289F"/>
    <w:rsid w:val="5F947A08"/>
    <w:rsid w:val="5F991BCB"/>
    <w:rsid w:val="5FA430F2"/>
    <w:rsid w:val="5FAA4AD1"/>
    <w:rsid w:val="5FB64498"/>
    <w:rsid w:val="5FBF59B7"/>
    <w:rsid w:val="5FC04205"/>
    <w:rsid w:val="5FD21CA0"/>
    <w:rsid w:val="5FD81733"/>
    <w:rsid w:val="5FD918A4"/>
    <w:rsid w:val="5FDE2E8C"/>
    <w:rsid w:val="5FE32071"/>
    <w:rsid w:val="5FE37FF7"/>
    <w:rsid w:val="5FE64A41"/>
    <w:rsid w:val="5FE81ACD"/>
    <w:rsid w:val="5FED15CB"/>
    <w:rsid w:val="5FEF16AE"/>
    <w:rsid w:val="600B3F28"/>
    <w:rsid w:val="600B6F9E"/>
    <w:rsid w:val="600F0E40"/>
    <w:rsid w:val="601E78E8"/>
    <w:rsid w:val="60204443"/>
    <w:rsid w:val="602A71DA"/>
    <w:rsid w:val="60372407"/>
    <w:rsid w:val="60377C74"/>
    <w:rsid w:val="603827F3"/>
    <w:rsid w:val="60481217"/>
    <w:rsid w:val="605806CA"/>
    <w:rsid w:val="60690DBE"/>
    <w:rsid w:val="606D316C"/>
    <w:rsid w:val="606F0E1A"/>
    <w:rsid w:val="6075208D"/>
    <w:rsid w:val="60752319"/>
    <w:rsid w:val="60802E35"/>
    <w:rsid w:val="60811FD8"/>
    <w:rsid w:val="6092559F"/>
    <w:rsid w:val="609C693F"/>
    <w:rsid w:val="60AB25C5"/>
    <w:rsid w:val="60AE64C1"/>
    <w:rsid w:val="60AF1513"/>
    <w:rsid w:val="60B011C0"/>
    <w:rsid w:val="60B17A56"/>
    <w:rsid w:val="60B61CDA"/>
    <w:rsid w:val="60BB7B96"/>
    <w:rsid w:val="60C475DD"/>
    <w:rsid w:val="60CC596E"/>
    <w:rsid w:val="60CE2238"/>
    <w:rsid w:val="60CF6EC9"/>
    <w:rsid w:val="60CF7DD0"/>
    <w:rsid w:val="60D41389"/>
    <w:rsid w:val="60DC22DF"/>
    <w:rsid w:val="60E440E4"/>
    <w:rsid w:val="60E70903"/>
    <w:rsid w:val="60EA628F"/>
    <w:rsid w:val="60EE4AE8"/>
    <w:rsid w:val="60F475CA"/>
    <w:rsid w:val="60FA79C1"/>
    <w:rsid w:val="60FC706C"/>
    <w:rsid w:val="61023164"/>
    <w:rsid w:val="610925F2"/>
    <w:rsid w:val="611503CA"/>
    <w:rsid w:val="61164D5D"/>
    <w:rsid w:val="6117553F"/>
    <w:rsid w:val="611A7278"/>
    <w:rsid w:val="611D5F58"/>
    <w:rsid w:val="611F628F"/>
    <w:rsid w:val="61213386"/>
    <w:rsid w:val="612448C0"/>
    <w:rsid w:val="612A5441"/>
    <w:rsid w:val="612D4D44"/>
    <w:rsid w:val="61331630"/>
    <w:rsid w:val="613560F0"/>
    <w:rsid w:val="61394658"/>
    <w:rsid w:val="613971FF"/>
    <w:rsid w:val="613A4317"/>
    <w:rsid w:val="613A49B3"/>
    <w:rsid w:val="613C6573"/>
    <w:rsid w:val="613C7AC2"/>
    <w:rsid w:val="613F0A21"/>
    <w:rsid w:val="613F7BA1"/>
    <w:rsid w:val="615071AF"/>
    <w:rsid w:val="6152509D"/>
    <w:rsid w:val="615A6011"/>
    <w:rsid w:val="615D38E6"/>
    <w:rsid w:val="61624B79"/>
    <w:rsid w:val="616D1E8C"/>
    <w:rsid w:val="617055C3"/>
    <w:rsid w:val="617504E6"/>
    <w:rsid w:val="617812D0"/>
    <w:rsid w:val="61797EA7"/>
    <w:rsid w:val="618B5C3B"/>
    <w:rsid w:val="618E4DBE"/>
    <w:rsid w:val="6190524A"/>
    <w:rsid w:val="6194428A"/>
    <w:rsid w:val="619C2993"/>
    <w:rsid w:val="619F5111"/>
    <w:rsid w:val="61A0158E"/>
    <w:rsid w:val="61A03D5F"/>
    <w:rsid w:val="61A20BAF"/>
    <w:rsid w:val="61A21182"/>
    <w:rsid w:val="61A5148C"/>
    <w:rsid w:val="61A8370C"/>
    <w:rsid w:val="61AC7C3E"/>
    <w:rsid w:val="61B2651A"/>
    <w:rsid w:val="61B70287"/>
    <w:rsid w:val="61C14407"/>
    <w:rsid w:val="61C544D0"/>
    <w:rsid w:val="61C557FB"/>
    <w:rsid w:val="61C56CDA"/>
    <w:rsid w:val="61CA71FC"/>
    <w:rsid w:val="61CE3DBB"/>
    <w:rsid w:val="61D12A7D"/>
    <w:rsid w:val="61D80D3C"/>
    <w:rsid w:val="61DD46F9"/>
    <w:rsid w:val="61DD6C29"/>
    <w:rsid w:val="61DD7269"/>
    <w:rsid w:val="61DE687D"/>
    <w:rsid w:val="61F26A42"/>
    <w:rsid w:val="61F71401"/>
    <w:rsid w:val="61F75C03"/>
    <w:rsid w:val="62015914"/>
    <w:rsid w:val="621728E6"/>
    <w:rsid w:val="621C7E71"/>
    <w:rsid w:val="62216F62"/>
    <w:rsid w:val="6224074C"/>
    <w:rsid w:val="62262953"/>
    <w:rsid w:val="62297593"/>
    <w:rsid w:val="6232068E"/>
    <w:rsid w:val="62327D52"/>
    <w:rsid w:val="623D4244"/>
    <w:rsid w:val="62416372"/>
    <w:rsid w:val="62426CAD"/>
    <w:rsid w:val="62435F4B"/>
    <w:rsid w:val="62515E8E"/>
    <w:rsid w:val="626224AE"/>
    <w:rsid w:val="62636A7F"/>
    <w:rsid w:val="62653928"/>
    <w:rsid w:val="626637CB"/>
    <w:rsid w:val="62687C0A"/>
    <w:rsid w:val="62720BC1"/>
    <w:rsid w:val="628163C7"/>
    <w:rsid w:val="628D67FA"/>
    <w:rsid w:val="62A86E8C"/>
    <w:rsid w:val="62B014DC"/>
    <w:rsid w:val="62BB6BAB"/>
    <w:rsid w:val="62BF6448"/>
    <w:rsid w:val="62D408AA"/>
    <w:rsid w:val="62D9620C"/>
    <w:rsid w:val="62DF52AE"/>
    <w:rsid w:val="62E42049"/>
    <w:rsid w:val="62F14901"/>
    <w:rsid w:val="62F2073B"/>
    <w:rsid w:val="62F80CF0"/>
    <w:rsid w:val="63083357"/>
    <w:rsid w:val="63084BDD"/>
    <w:rsid w:val="63095298"/>
    <w:rsid w:val="63133A2F"/>
    <w:rsid w:val="63171A8A"/>
    <w:rsid w:val="63191FA4"/>
    <w:rsid w:val="631955AD"/>
    <w:rsid w:val="631D0B61"/>
    <w:rsid w:val="632D28F2"/>
    <w:rsid w:val="633C78BB"/>
    <w:rsid w:val="634043EC"/>
    <w:rsid w:val="63425F59"/>
    <w:rsid w:val="63450C30"/>
    <w:rsid w:val="63471A05"/>
    <w:rsid w:val="6348181B"/>
    <w:rsid w:val="634B0F4C"/>
    <w:rsid w:val="634F163B"/>
    <w:rsid w:val="63505013"/>
    <w:rsid w:val="6356637E"/>
    <w:rsid w:val="63567264"/>
    <w:rsid w:val="635854D4"/>
    <w:rsid w:val="635A3787"/>
    <w:rsid w:val="635B50A6"/>
    <w:rsid w:val="635F3E6C"/>
    <w:rsid w:val="63622A83"/>
    <w:rsid w:val="636513A8"/>
    <w:rsid w:val="636F77CA"/>
    <w:rsid w:val="63725C9C"/>
    <w:rsid w:val="638D10E3"/>
    <w:rsid w:val="638D42C0"/>
    <w:rsid w:val="63A3208F"/>
    <w:rsid w:val="63A855E8"/>
    <w:rsid w:val="63B0726B"/>
    <w:rsid w:val="63B80A8F"/>
    <w:rsid w:val="63C17008"/>
    <w:rsid w:val="63D0326A"/>
    <w:rsid w:val="63D37E25"/>
    <w:rsid w:val="63D42B52"/>
    <w:rsid w:val="63DB22FB"/>
    <w:rsid w:val="63DC5E07"/>
    <w:rsid w:val="63E45044"/>
    <w:rsid w:val="63E92407"/>
    <w:rsid w:val="63ED1ABA"/>
    <w:rsid w:val="63F54B38"/>
    <w:rsid w:val="63F97AA8"/>
    <w:rsid w:val="63FA3F48"/>
    <w:rsid w:val="63FC63BA"/>
    <w:rsid w:val="640004A6"/>
    <w:rsid w:val="64074D44"/>
    <w:rsid w:val="64075F2E"/>
    <w:rsid w:val="640D43F7"/>
    <w:rsid w:val="64103237"/>
    <w:rsid w:val="641369A5"/>
    <w:rsid w:val="64163BAD"/>
    <w:rsid w:val="64174B6B"/>
    <w:rsid w:val="641B5F92"/>
    <w:rsid w:val="64207FAC"/>
    <w:rsid w:val="6422650A"/>
    <w:rsid w:val="64235DFF"/>
    <w:rsid w:val="642F7DCF"/>
    <w:rsid w:val="6433628F"/>
    <w:rsid w:val="64390D60"/>
    <w:rsid w:val="64394F75"/>
    <w:rsid w:val="643F472E"/>
    <w:rsid w:val="644E07D9"/>
    <w:rsid w:val="644E74E6"/>
    <w:rsid w:val="645719A3"/>
    <w:rsid w:val="646025F0"/>
    <w:rsid w:val="646356FB"/>
    <w:rsid w:val="64694C1B"/>
    <w:rsid w:val="646A5E54"/>
    <w:rsid w:val="646D0423"/>
    <w:rsid w:val="647C01A4"/>
    <w:rsid w:val="648116BE"/>
    <w:rsid w:val="64914DF1"/>
    <w:rsid w:val="64923700"/>
    <w:rsid w:val="6494517D"/>
    <w:rsid w:val="64961D8F"/>
    <w:rsid w:val="64963F36"/>
    <w:rsid w:val="64983E35"/>
    <w:rsid w:val="649B4103"/>
    <w:rsid w:val="649F1E2A"/>
    <w:rsid w:val="64A57EA9"/>
    <w:rsid w:val="64A76DF3"/>
    <w:rsid w:val="64AB2D77"/>
    <w:rsid w:val="64B12FFD"/>
    <w:rsid w:val="64B66BCF"/>
    <w:rsid w:val="64B8098E"/>
    <w:rsid w:val="64B81D7C"/>
    <w:rsid w:val="64BD0DE2"/>
    <w:rsid w:val="64CB2284"/>
    <w:rsid w:val="64CC7F8A"/>
    <w:rsid w:val="64E333A8"/>
    <w:rsid w:val="64E70108"/>
    <w:rsid w:val="64EA733A"/>
    <w:rsid w:val="64EB1253"/>
    <w:rsid w:val="65036D56"/>
    <w:rsid w:val="650906B2"/>
    <w:rsid w:val="650A4E9A"/>
    <w:rsid w:val="650E29E3"/>
    <w:rsid w:val="651725E2"/>
    <w:rsid w:val="651868C1"/>
    <w:rsid w:val="651921CC"/>
    <w:rsid w:val="65232F25"/>
    <w:rsid w:val="652935F2"/>
    <w:rsid w:val="652A4B00"/>
    <w:rsid w:val="652E7EC6"/>
    <w:rsid w:val="65381046"/>
    <w:rsid w:val="65405E19"/>
    <w:rsid w:val="654D2F79"/>
    <w:rsid w:val="65504D99"/>
    <w:rsid w:val="65510E34"/>
    <w:rsid w:val="65512BF5"/>
    <w:rsid w:val="65611088"/>
    <w:rsid w:val="65617866"/>
    <w:rsid w:val="656939C1"/>
    <w:rsid w:val="656C4581"/>
    <w:rsid w:val="6570194C"/>
    <w:rsid w:val="65741253"/>
    <w:rsid w:val="657933B4"/>
    <w:rsid w:val="658629E2"/>
    <w:rsid w:val="65886C35"/>
    <w:rsid w:val="65892994"/>
    <w:rsid w:val="659B461E"/>
    <w:rsid w:val="65A359AD"/>
    <w:rsid w:val="65AA287E"/>
    <w:rsid w:val="65AC7D2D"/>
    <w:rsid w:val="65B33A17"/>
    <w:rsid w:val="65C309C3"/>
    <w:rsid w:val="65CE50BB"/>
    <w:rsid w:val="65D13A3A"/>
    <w:rsid w:val="65D71A99"/>
    <w:rsid w:val="65D74D65"/>
    <w:rsid w:val="65DA7B29"/>
    <w:rsid w:val="65DC221B"/>
    <w:rsid w:val="65DD4A5C"/>
    <w:rsid w:val="65DF4FDF"/>
    <w:rsid w:val="65E20D46"/>
    <w:rsid w:val="65EC6288"/>
    <w:rsid w:val="65ED1249"/>
    <w:rsid w:val="65F049DA"/>
    <w:rsid w:val="65F650BA"/>
    <w:rsid w:val="65F90627"/>
    <w:rsid w:val="65FA08A0"/>
    <w:rsid w:val="65FA1EED"/>
    <w:rsid w:val="65FE6126"/>
    <w:rsid w:val="660017B0"/>
    <w:rsid w:val="66026916"/>
    <w:rsid w:val="66036D3E"/>
    <w:rsid w:val="66101C94"/>
    <w:rsid w:val="66162D18"/>
    <w:rsid w:val="66196874"/>
    <w:rsid w:val="66196EAD"/>
    <w:rsid w:val="661D6420"/>
    <w:rsid w:val="66242FDE"/>
    <w:rsid w:val="66322AB5"/>
    <w:rsid w:val="66333A30"/>
    <w:rsid w:val="66347380"/>
    <w:rsid w:val="663B0316"/>
    <w:rsid w:val="6647050A"/>
    <w:rsid w:val="664956ED"/>
    <w:rsid w:val="664F7D8C"/>
    <w:rsid w:val="665E157C"/>
    <w:rsid w:val="66647507"/>
    <w:rsid w:val="66667963"/>
    <w:rsid w:val="666C7B0B"/>
    <w:rsid w:val="667E00F5"/>
    <w:rsid w:val="668652F7"/>
    <w:rsid w:val="668C6CE7"/>
    <w:rsid w:val="66900CCE"/>
    <w:rsid w:val="66905939"/>
    <w:rsid w:val="66910EB8"/>
    <w:rsid w:val="6694063C"/>
    <w:rsid w:val="66972D8E"/>
    <w:rsid w:val="6697617E"/>
    <w:rsid w:val="669B2422"/>
    <w:rsid w:val="66A318FC"/>
    <w:rsid w:val="66B37847"/>
    <w:rsid w:val="66B80708"/>
    <w:rsid w:val="66BD4C82"/>
    <w:rsid w:val="66C74615"/>
    <w:rsid w:val="66C85120"/>
    <w:rsid w:val="66CC0622"/>
    <w:rsid w:val="66D93108"/>
    <w:rsid w:val="66D953C4"/>
    <w:rsid w:val="66D9632C"/>
    <w:rsid w:val="66D967AF"/>
    <w:rsid w:val="66DC390C"/>
    <w:rsid w:val="66E45649"/>
    <w:rsid w:val="66E63A20"/>
    <w:rsid w:val="66F76FD0"/>
    <w:rsid w:val="66F9395F"/>
    <w:rsid w:val="66FC71CA"/>
    <w:rsid w:val="66FF2DB2"/>
    <w:rsid w:val="67044237"/>
    <w:rsid w:val="67075D0B"/>
    <w:rsid w:val="670D1072"/>
    <w:rsid w:val="670D1283"/>
    <w:rsid w:val="670E3FFA"/>
    <w:rsid w:val="671355D2"/>
    <w:rsid w:val="671725A5"/>
    <w:rsid w:val="671B07A2"/>
    <w:rsid w:val="671B3C27"/>
    <w:rsid w:val="67204BFD"/>
    <w:rsid w:val="67292B3C"/>
    <w:rsid w:val="673253D5"/>
    <w:rsid w:val="673C344F"/>
    <w:rsid w:val="67493E27"/>
    <w:rsid w:val="674E12A0"/>
    <w:rsid w:val="6755674D"/>
    <w:rsid w:val="67586A9B"/>
    <w:rsid w:val="675B4AC2"/>
    <w:rsid w:val="675B57F5"/>
    <w:rsid w:val="675F2A05"/>
    <w:rsid w:val="676207E2"/>
    <w:rsid w:val="67661041"/>
    <w:rsid w:val="676A6E3A"/>
    <w:rsid w:val="676F77C9"/>
    <w:rsid w:val="67767973"/>
    <w:rsid w:val="67774242"/>
    <w:rsid w:val="677F26D0"/>
    <w:rsid w:val="67815A45"/>
    <w:rsid w:val="6784443A"/>
    <w:rsid w:val="67907D13"/>
    <w:rsid w:val="6791215B"/>
    <w:rsid w:val="679534F6"/>
    <w:rsid w:val="67993ACA"/>
    <w:rsid w:val="67995BDF"/>
    <w:rsid w:val="679B2C96"/>
    <w:rsid w:val="679B3665"/>
    <w:rsid w:val="679F7370"/>
    <w:rsid w:val="67A2514F"/>
    <w:rsid w:val="67A309B7"/>
    <w:rsid w:val="67A70974"/>
    <w:rsid w:val="67AB1D6B"/>
    <w:rsid w:val="67AC4122"/>
    <w:rsid w:val="67BC5B96"/>
    <w:rsid w:val="67BF0592"/>
    <w:rsid w:val="67C079D1"/>
    <w:rsid w:val="67C3489F"/>
    <w:rsid w:val="67CB79D8"/>
    <w:rsid w:val="67CF5883"/>
    <w:rsid w:val="67D2542E"/>
    <w:rsid w:val="67D72703"/>
    <w:rsid w:val="67D82FEC"/>
    <w:rsid w:val="67D869E9"/>
    <w:rsid w:val="67DE25EB"/>
    <w:rsid w:val="67E347A9"/>
    <w:rsid w:val="67EE4071"/>
    <w:rsid w:val="67F07B78"/>
    <w:rsid w:val="67F4170F"/>
    <w:rsid w:val="67F750D2"/>
    <w:rsid w:val="67FF6FE0"/>
    <w:rsid w:val="680E4D2C"/>
    <w:rsid w:val="6816071C"/>
    <w:rsid w:val="681B6F48"/>
    <w:rsid w:val="681D3DEB"/>
    <w:rsid w:val="682024AB"/>
    <w:rsid w:val="682353BE"/>
    <w:rsid w:val="682C6405"/>
    <w:rsid w:val="68314600"/>
    <w:rsid w:val="6833005A"/>
    <w:rsid w:val="68363F74"/>
    <w:rsid w:val="683659CB"/>
    <w:rsid w:val="684B46A6"/>
    <w:rsid w:val="684D303D"/>
    <w:rsid w:val="68574EA4"/>
    <w:rsid w:val="685A4162"/>
    <w:rsid w:val="68624B27"/>
    <w:rsid w:val="68670ED3"/>
    <w:rsid w:val="686D4970"/>
    <w:rsid w:val="68767581"/>
    <w:rsid w:val="687E765D"/>
    <w:rsid w:val="68810A52"/>
    <w:rsid w:val="6884668C"/>
    <w:rsid w:val="6888364F"/>
    <w:rsid w:val="688E68F0"/>
    <w:rsid w:val="68916DB8"/>
    <w:rsid w:val="68946920"/>
    <w:rsid w:val="689641FE"/>
    <w:rsid w:val="689B4901"/>
    <w:rsid w:val="68A06B3E"/>
    <w:rsid w:val="68A3215E"/>
    <w:rsid w:val="68A96FD0"/>
    <w:rsid w:val="68B30689"/>
    <w:rsid w:val="68BC7C3A"/>
    <w:rsid w:val="68C07C6D"/>
    <w:rsid w:val="68C24A46"/>
    <w:rsid w:val="68C32D30"/>
    <w:rsid w:val="68CE061E"/>
    <w:rsid w:val="68D160B6"/>
    <w:rsid w:val="68D6553B"/>
    <w:rsid w:val="68E1693E"/>
    <w:rsid w:val="68E95CBE"/>
    <w:rsid w:val="68EE5FF6"/>
    <w:rsid w:val="68F11B06"/>
    <w:rsid w:val="68F12C0F"/>
    <w:rsid w:val="68F13CC7"/>
    <w:rsid w:val="68F17417"/>
    <w:rsid w:val="68F30E1E"/>
    <w:rsid w:val="68F3235D"/>
    <w:rsid w:val="68F62489"/>
    <w:rsid w:val="69010E29"/>
    <w:rsid w:val="69036D2A"/>
    <w:rsid w:val="69040DA3"/>
    <w:rsid w:val="69044E32"/>
    <w:rsid w:val="69060615"/>
    <w:rsid w:val="690A435D"/>
    <w:rsid w:val="691540D1"/>
    <w:rsid w:val="692E19FD"/>
    <w:rsid w:val="6949404D"/>
    <w:rsid w:val="695A62A9"/>
    <w:rsid w:val="69607173"/>
    <w:rsid w:val="696E3F7D"/>
    <w:rsid w:val="696E4DB1"/>
    <w:rsid w:val="69831A73"/>
    <w:rsid w:val="69833B52"/>
    <w:rsid w:val="69840A36"/>
    <w:rsid w:val="698C6058"/>
    <w:rsid w:val="69976019"/>
    <w:rsid w:val="69A32CCF"/>
    <w:rsid w:val="69A34249"/>
    <w:rsid w:val="69A60CBC"/>
    <w:rsid w:val="69A71577"/>
    <w:rsid w:val="69B339A6"/>
    <w:rsid w:val="69B665F3"/>
    <w:rsid w:val="69B820ED"/>
    <w:rsid w:val="69BD224C"/>
    <w:rsid w:val="69C932A9"/>
    <w:rsid w:val="69DB007F"/>
    <w:rsid w:val="69DC4528"/>
    <w:rsid w:val="69E51124"/>
    <w:rsid w:val="69E82662"/>
    <w:rsid w:val="69EB5FCC"/>
    <w:rsid w:val="69F97B10"/>
    <w:rsid w:val="6A006107"/>
    <w:rsid w:val="6A063C23"/>
    <w:rsid w:val="6A0B175E"/>
    <w:rsid w:val="6A0B1C3A"/>
    <w:rsid w:val="6A14624F"/>
    <w:rsid w:val="6A1874E7"/>
    <w:rsid w:val="6A1C46AC"/>
    <w:rsid w:val="6A1D09F1"/>
    <w:rsid w:val="6A282B66"/>
    <w:rsid w:val="6A2C7939"/>
    <w:rsid w:val="6A2F393C"/>
    <w:rsid w:val="6A2F4319"/>
    <w:rsid w:val="6A376EC7"/>
    <w:rsid w:val="6A527D31"/>
    <w:rsid w:val="6A5705B3"/>
    <w:rsid w:val="6A60053F"/>
    <w:rsid w:val="6A624A95"/>
    <w:rsid w:val="6A650C0F"/>
    <w:rsid w:val="6A6B12B7"/>
    <w:rsid w:val="6A6D73C8"/>
    <w:rsid w:val="6A6E0638"/>
    <w:rsid w:val="6A6E1B96"/>
    <w:rsid w:val="6A732C43"/>
    <w:rsid w:val="6A736EAB"/>
    <w:rsid w:val="6A820BBA"/>
    <w:rsid w:val="6A894D8C"/>
    <w:rsid w:val="6A8A0F55"/>
    <w:rsid w:val="6A920AE0"/>
    <w:rsid w:val="6A9E23C8"/>
    <w:rsid w:val="6AB32883"/>
    <w:rsid w:val="6AB97D63"/>
    <w:rsid w:val="6ABB3B40"/>
    <w:rsid w:val="6ABD6026"/>
    <w:rsid w:val="6AC93F8C"/>
    <w:rsid w:val="6AD03B37"/>
    <w:rsid w:val="6AD1121C"/>
    <w:rsid w:val="6AD276A0"/>
    <w:rsid w:val="6ADB2ADD"/>
    <w:rsid w:val="6AE20821"/>
    <w:rsid w:val="6AE6668E"/>
    <w:rsid w:val="6AEB7AE6"/>
    <w:rsid w:val="6AF477AA"/>
    <w:rsid w:val="6AF62D32"/>
    <w:rsid w:val="6AF666D5"/>
    <w:rsid w:val="6B105C00"/>
    <w:rsid w:val="6B11594C"/>
    <w:rsid w:val="6B1163B4"/>
    <w:rsid w:val="6B1D7C82"/>
    <w:rsid w:val="6B2C19AC"/>
    <w:rsid w:val="6B2E7032"/>
    <w:rsid w:val="6B3413B3"/>
    <w:rsid w:val="6B3E208F"/>
    <w:rsid w:val="6B3F1A50"/>
    <w:rsid w:val="6B4B41A8"/>
    <w:rsid w:val="6B537D47"/>
    <w:rsid w:val="6B60464B"/>
    <w:rsid w:val="6B634B7D"/>
    <w:rsid w:val="6B681EB2"/>
    <w:rsid w:val="6B696FA9"/>
    <w:rsid w:val="6B6E47D9"/>
    <w:rsid w:val="6B7179F4"/>
    <w:rsid w:val="6B741DC4"/>
    <w:rsid w:val="6B7517CC"/>
    <w:rsid w:val="6B7B1541"/>
    <w:rsid w:val="6B7C7DA8"/>
    <w:rsid w:val="6B80359D"/>
    <w:rsid w:val="6B8A1407"/>
    <w:rsid w:val="6B942E35"/>
    <w:rsid w:val="6BA63872"/>
    <w:rsid w:val="6BA81693"/>
    <w:rsid w:val="6BAA4B93"/>
    <w:rsid w:val="6BB77156"/>
    <w:rsid w:val="6BB93270"/>
    <w:rsid w:val="6BC80A7B"/>
    <w:rsid w:val="6BD91432"/>
    <w:rsid w:val="6BDE3149"/>
    <w:rsid w:val="6BE115FE"/>
    <w:rsid w:val="6BE916E7"/>
    <w:rsid w:val="6BF229AC"/>
    <w:rsid w:val="6BF50AC2"/>
    <w:rsid w:val="6BF83D9C"/>
    <w:rsid w:val="6BFB32BA"/>
    <w:rsid w:val="6BFD6BB7"/>
    <w:rsid w:val="6C026D64"/>
    <w:rsid w:val="6C0C59E2"/>
    <w:rsid w:val="6C0E6B4D"/>
    <w:rsid w:val="6C0F20AB"/>
    <w:rsid w:val="6C190B20"/>
    <w:rsid w:val="6C253F95"/>
    <w:rsid w:val="6C34211A"/>
    <w:rsid w:val="6C3727E2"/>
    <w:rsid w:val="6C3F714D"/>
    <w:rsid w:val="6C3F7CF7"/>
    <w:rsid w:val="6C4B71DC"/>
    <w:rsid w:val="6C4D0271"/>
    <w:rsid w:val="6C4E103D"/>
    <w:rsid w:val="6C5034D7"/>
    <w:rsid w:val="6C596AB1"/>
    <w:rsid w:val="6C610FB7"/>
    <w:rsid w:val="6C687279"/>
    <w:rsid w:val="6C6B5BD5"/>
    <w:rsid w:val="6C7F077B"/>
    <w:rsid w:val="6C846D17"/>
    <w:rsid w:val="6C8A1950"/>
    <w:rsid w:val="6C8A288A"/>
    <w:rsid w:val="6C8E3112"/>
    <w:rsid w:val="6C917384"/>
    <w:rsid w:val="6C9231B7"/>
    <w:rsid w:val="6C960C80"/>
    <w:rsid w:val="6C991D5D"/>
    <w:rsid w:val="6CA00B26"/>
    <w:rsid w:val="6CA02E1C"/>
    <w:rsid w:val="6CA55621"/>
    <w:rsid w:val="6CB16C1F"/>
    <w:rsid w:val="6CB7341A"/>
    <w:rsid w:val="6CBC15EB"/>
    <w:rsid w:val="6CBE000E"/>
    <w:rsid w:val="6CC32EC0"/>
    <w:rsid w:val="6CC7229D"/>
    <w:rsid w:val="6CCF3EC1"/>
    <w:rsid w:val="6CD6702A"/>
    <w:rsid w:val="6CDA72FE"/>
    <w:rsid w:val="6CE756D0"/>
    <w:rsid w:val="6CF65CED"/>
    <w:rsid w:val="6CF66087"/>
    <w:rsid w:val="6CFD2783"/>
    <w:rsid w:val="6D06792F"/>
    <w:rsid w:val="6D0A162F"/>
    <w:rsid w:val="6D0A33CC"/>
    <w:rsid w:val="6D1906F5"/>
    <w:rsid w:val="6D192E27"/>
    <w:rsid w:val="6D232C90"/>
    <w:rsid w:val="6D2D1A8D"/>
    <w:rsid w:val="6D2F2A36"/>
    <w:rsid w:val="6D3104FC"/>
    <w:rsid w:val="6D330D08"/>
    <w:rsid w:val="6D3474E6"/>
    <w:rsid w:val="6D382FFE"/>
    <w:rsid w:val="6D3E2D99"/>
    <w:rsid w:val="6D452634"/>
    <w:rsid w:val="6D4B68EC"/>
    <w:rsid w:val="6D5A743D"/>
    <w:rsid w:val="6D5B193A"/>
    <w:rsid w:val="6D5C627B"/>
    <w:rsid w:val="6D5D2CC3"/>
    <w:rsid w:val="6D630EBF"/>
    <w:rsid w:val="6D681EA4"/>
    <w:rsid w:val="6D6D1C70"/>
    <w:rsid w:val="6D750F93"/>
    <w:rsid w:val="6D76726E"/>
    <w:rsid w:val="6D77432C"/>
    <w:rsid w:val="6D7D1AC3"/>
    <w:rsid w:val="6D815C50"/>
    <w:rsid w:val="6D89784F"/>
    <w:rsid w:val="6D91378F"/>
    <w:rsid w:val="6D9345B9"/>
    <w:rsid w:val="6D944F98"/>
    <w:rsid w:val="6D9570CD"/>
    <w:rsid w:val="6D990517"/>
    <w:rsid w:val="6D9A3B2A"/>
    <w:rsid w:val="6D9D4738"/>
    <w:rsid w:val="6D9F2CE8"/>
    <w:rsid w:val="6DA0407C"/>
    <w:rsid w:val="6DA4302C"/>
    <w:rsid w:val="6DB02AC7"/>
    <w:rsid w:val="6DB32EBA"/>
    <w:rsid w:val="6DBA06D0"/>
    <w:rsid w:val="6DBA7E68"/>
    <w:rsid w:val="6DBF0696"/>
    <w:rsid w:val="6DD05B97"/>
    <w:rsid w:val="6DD23DE9"/>
    <w:rsid w:val="6DD57561"/>
    <w:rsid w:val="6DD62CFA"/>
    <w:rsid w:val="6DDE0AE7"/>
    <w:rsid w:val="6DE16B73"/>
    <w:rsid w:val="6DE61C05"/>
    <w:rsid w:val="6DEC5AC7"/>
    <w:rsid w:val="6DF11E3F"/>
    <w:rsid w:val="6DF13B40"/>
    <w:rsid w:val="6DF2786E"/>
    <w:rsid w:val="6DFA298D"/>
    <w:rsid w:val="6E02368D"/>
    <w:rsid w:val="6E0C5B4D"/>
    <w:rsid w:val="6E0E1B39"/>
    <w:rsid w:val="6E167F8C"/>
    <w:rsid w:val="6E1929AA"/>
    <w:rsid w:val="6E1942EC"/>
    <w:rsid w:val="6E1C1EE0"/>
    <w:rsid w:val="6E1F551F"/>
    <w:rsid w:val="6E236350"/>
    <w:rsid w:val="6E2573F2"/>
    <w:rsid w:val="6E2B11E4"/>
    <w:rsid w:val="6E353B30"/>
    <w:rsid w:val="6E353E42"/>
    <w:rsid w:val="6E3E7D2B"/>
    <w:rsid w:val="6E447E57"/>
    <w:rsid w:val="6E4A2B2A"/>
    <w:rsid w:val="6E5B1061"/>
    <w:rsid w:val="6E632F17"/>
    <w:rsid w:val="6E780A17"/>
    <w:rsid w:val="6E7A5781"/>
    <w:rsid w:val="6E7C750F"/>
    <w:rsid w:val="6E807C65"/>
    <w:rsid w:val="6EAC05DB"/>
    <w:rsid w:val="6EB03D25"/>
    <w:rsid w:val="6EB621DB"/>
    <w:rsid w:val="6EBE6D9D"/>
    <w:rsid w:val="6EC20E5D"/>
    <w:rsid w:val="6EC2113A"/>
    <w:rsid w:val="6EC26FD9"/>
    <w:rsid w:val="6EC62B4F"/>
    <w:rsid w:val="6EC67286"/>
    <w:rsid w:val="6EC72DE5"/>
    <w:rsid w:val="6ECF685C"/>
    <w:rsid w:val="6ED20470"/>
    <w:rsid w:val="6ED44793"/>
    <w:rsid w:val="6ED5522D"/>
    <w:rsid w:val="6ED7763C"/>
    <w:rsid w:val="6EDB1E15"/>
    <w:rsid w:val="6EDF099C"/>
    <w:rsid w:val="6EE575C0"/>
    <w:rsid w:val="6EEC225F"/>
    <w:rsid w:val="6EF10F20"/>
    <w:rsid w:val="6EF632B9"/>
    <w:rsid w:val="6EF86320"/>
    <w:rsid w:val="6EFB2B08"/>
    <w:rsid w:val="6EFC3116"/>
    <w:rsid w:val="6F001EB5"/>
    <w:rsid w:val="6F004D43"/>
    <w:rsid w:val="6F0303A8"/>
    <w:rsid w:val="6F0C63D7"/>
    <w:rsid w:val="6F0E6EA0"/>
    <w:rsid w:val="6F0E7B8B"/>
    <w:rsid w:val="6F147AC7"/>
    <w:rsid w:val="6F205FEC"/>
    <w:rsid w:val="6F207A65"/>
    <w:rsid w:val="6F24560B"/>
    <w:rsid w:val="6F276BB0"/>
    <w:rsid w:val="6F3B5656"/>
    <w:rsid w:val="6F421899"/>
    <w:rsid w:val="6F4603C3"/>
    <w:rsid w:val="6F463461"/>
    <w:rsid w:val="6F4A06CE"/>
    <w:rsid w:val="6F533B78"/>
    <w:rsid w:val="6F5E6575"/>
    <w:rsid w:val="6F6408C5"/>
    <w:rsid w:val="6F653AC8"/>
    <w:rsid w:val="6F6A4079"/>
    <w:rsid w:val="6F6D6D3F"/>
    <w:rsid w:val="6F6F34A0"/>
    <w:rsid w:val="6F7964CB"/>
    <w:rsid w:val="6F8A5F78"/>
    <w:rsid w:val="6F91219D"/>
    <w:rsid w:val="6F9246E8"/>
    <w:rsid w:val="6FA70BA7"/>
    <w:rsid w:val="6FA73D05"/>
    <w:rsid w:val="6FA970C6"/>
    <w:rsid w:val="6FAD339E"/>
    <w:rsid w:val="6FAF1C9C"/>
    <w:rsid w:val="6FB7533C"/>
    <w:rsid w:val="6FB86F6F"/>
    <w:rsid w:val="6FBD44AB"/>
    <w:rsid w:val="6FC14962"/>
    <w:rsid w:val="6FC61949"/>
    <w:rsid w:val="6FCD6153"/>
    <w:rsid w:val="6FCE771B"/>
    <w:rsid w:val="6FD14A24"/>
    <w:rsid w:val="6FD40192"/>
    <w:rsid w:val="6FD80473"/>
    <w:rsid w:val="6FD842D4"/>
    <w:rsid w:val="6FD9274D"/>
    <w:rsid w:val="6FDE588E"/>
    <w:rsid w:val="6FE0254F"/>
    <w:rsid w:val="6FE66281"/>
    <w:rsid w:val="6FE82829"/>
    <w:rsid w:val="6FF07E60"/>
    <w:rsid w:val="6FF64F6E"/>
    <w:rsid w:val="6FF80816"/>
    <w:rsid w:val="6FFBACFE"/>
    <w:rsid w:val="70001CBF"/>
    <w:rsid w:val="70051FC3"/>
    <w:rsid w:val="700C4781"/>
    <w:rsid w:val="70105602"/>
    <w:rsid w:val="701168CC"/>
    <w:rsid w:val="70134DF9"/>
    <w:rsid w:val="70160D3D"/>
    <w:rsid w:val="702A21C5"/>
    <w:rsid w:val="702E56D9"/>
    <w:rsid w:val="70315ACB"/>
    <w:rsid w:val="7037792B"/>
    <w:rsid w:val="703B4AA7"/>
    <w:rsid w:val="703F1AC5"/>
    <w:rsid w:val="70407A00"/>
    <w:rsid w:val="704354FC"/>
    <w:rsid w:val="705642DC"/>
    <w:rsid w:val="7062438A"/>
    <w:rsid w:val="706D7B99"/>
    <w:rsid w:val="707454A5"/>
    <w:rsid w:val="707E1B03"/>
    <w:rsid w:val="70884101"/>
    <w:rsid w:val="70911C77"/>
    <w:rsid w:val="70986813"/>
    <w:rsid w:val="709A3E10"/>
    <w:rsid w:val="70B174B8"/>
    <w:rsid w:val="70B87F99"/>
    <w:rsid w:val="70C05AD4"/>
    <w:rsid w:val="70C06311"/>
    <w:rsid w:val="70C37DFF"/>
    <w:rsid w:val="70C96CF0"/>
    <w:rsid w:val="70CF0F88"/>
    <w:rsid w:val="70D1148B"/>
    <w:rsid w:val="70D2389C"/>
    <w:rsid w:val="70D51886"/>
    <w:rsid w:val="70DA2E28"/>
    <w:rsid w:val="70DB3E14"/>
    <w:rsid w:val="70DC51AC"/>
    <w:rsid w:val="70DF0D8B"/>
    <w:rsid w:val="70E75E6B"/>
    <w:rsid w:val="70F72D6E"/>
    <w:rsid w:val="71010BA9"/>
    <w:rsid w:val="7106202A"/>
    <w:rsid w:val="71154DE5"/>
    <w:rsid w:val="712F05D2"/>
    <w:rsid w:val="712F4884"/>
    <w:rsid w:val="7130470C"/>
    <w:rsid w:val="713A6131"/>
    <w:rsid w:val="714274C4"/>
    <w:rsid w:val="71431E1E"/>
    <w:rsid w:val="714A575C"/>
    <w:rsid w:val="714D5498"/>
    <w:rsid w:val="714E093C"/>
    <w:rsid w:val="71523EE7"/>
    <w:rsid w:val="71532FE3"/>
    <w:rsid w:val="715F034B"/>
    <w:rsid w:val="71662247"/>
    <w:rsid w:val="71664E11"/>
    <w:rsid w:val="71721525"/>
    <w:rsid w:val="7177447D"/>
    <w:rsid w:val="71775536"/>
    <w:rsid w:val="71942565"/>
    <w:rsid w:val="71956D10"/>
    <w:rsid w:val="719602F8"/>
    <w:rsid w:val="719E1803"/>
    <w:rsid w:val="71A53632"/>
    <w:rsid w:val="71AA4C52"/>
    <w:rsid w:val="71B20932"/>
    <w:rsid w:val="71B42F9A"/>
    <w:rsid w:val="71BB2D34"/>
    <w:rsid w:val="71BF1D19"/>
    <w:rsid w:val="71C0406A"/>
    <w:rsid w:val="71C044BD"/>
    <w:rsid w:val="71D01A82"/>
    <w:rsid w:val="71D477D6"/>
    <w:rsid w:val="71D91572"/>
    <w:rsid w:val="71E24A3B"/>
    <w:rsid w:val="71E329B9"/>
    <w:rsid w:val="71E36CE7"/>
    <w:rsid w:val="71F16E28"/>
    <w:rsid w:val="71F23FD4"/>
    <w:rsid w:val="71F61C53"/>
    <w:rsid w:val="71F73EC2"/>
    <w:rsid w:val="721142F7"/>
    <w:rsid w:val="721459A1"/>
    <w:rsid w:val="721A4682"/>
    <w:rsid w:val="721E6A2A"/>
    <w:rsid w:val="72320AC8"/>
    <w:rsid w:val="723A7B7E"/>
    <w:rsid w:val="723D7D7D"/>
    <w:rsid w:val="724A5D81"/>
    <w:rsid w:val="724E14B1"/>
    <w:rsid w:val="72514327"/>
    <w:rsid w:val="72516EA0"/>
    <w:rsid w:val="72544005"/>
    <w:rsid w:val="725544A8"/>
    <w:rsid w:val="725927C9"/>
    <w:rsid w:val="725D01F5"/>
    <w:rsid w:val="725D71E1"/>
    <w:rsid w:val="727C3E90"/>
    <w:rsid w:val="7285513E"/>
    <w:rsid w:val="728576DC"/>
    <w:rsid w:val="72A24117"/>
    <w:rsid w:val="72A41103"/>
    <w:rsid w:val="72B15F94"/>
    <w:rsid w:val="72BB62FA"/>
    <w:rsid w:val="72C20714"/>
    <w:rsid w:val="72C66E86"/>
    <w:rsid w:val="72C96AFD"/>
    <w:rsid w:val="72C96D9C"/>
    <w:rsid w:val="72CE00AA"/>
    <w:rsid w:val="72D6714F"/>
    <w:rsid w:val="72DB1ADA"/>
    <w:rsid w:val="72DF2D54"/>
    <w:rsid w:val="72EB2E54"/>
    <w:rsid w:val="72EE2225"/>
    <w:rsid w:val="72F36F06"/>
    <w:rsid w:val="72F42BA6"/>
    <w:rsid w:val="72F96FC3"/>
    <w:rsid w:val="72FA494D"/>
    <w:rsid w:val="72FF2BDA"/>
    <w:rsid w:val="730243B3"/>
    <w:rsid w:val="73057B9F"/>
    <w:rsid w:val="73205DA9"/>
    <w:rsid w:val="7321765C"/>
    <w:rsid w:val="732B595F"/>
    <w:rsid w:val="732C45EF"/>
    <w:rsid w:val="73337CF8"/>
    <w:rsid w:val="73391467"/>
    <w:rsid w:val="734202CC"/>
    <w:rsid w:val="73534DF4"/>
    <w:rsid w:val="73615359"/>
    <w:rsid w:val="736173E3"/>
    <w:rsid w:val="7363222B"/>
    <w:rsid w:val="736C3816"/>
    <w:rsid w:val="736E68EE"/>
    <w:rsid w:val="736F76A9"/>
    <w:rsid w:val="73702680"/>
    <w:rsid w:val="73721F07"/>
    <w:rsid w:val="73736033"/>
    <w:rsid w:val="73766814"/>
    <w:rsid w:val="737A7603"/>
    <w:rsid w:val="737D693A"/>
    <w:rsid w:val="73872ED1"/>
    <w:rsid w:val="738B4CAC"/>
    <w:rsid w:val="73912255"/>
    <w:rsid w:val="73992BDC"/>
    <w:rsid w:val="73A47EFB"/>
    <w:rsid w:val="73AA0B80"/>
    <w:rsid w:val="73BD0ECB"/>
    <w:rsid w:val="73C42BD2"/>
    <w:rsid w:val="73C4341B"/>
    <w:rsid w:val="73CB10D6"/>
    <w:rsid w:val="73D87220"/>
    <w:rsid w:val="73E16E48"/>
    <w:rsid w:val="73F363C0"/>
    <w:rsid w:val="73F77ED0"/>
    <w:rsid w:val="73F92251"/>
    <w:rsid w:val="73FD1FE1"/>
    <w:rsid w:val="74095ADA"/>
    <w:rsid w:val="74167702"/>
    <w:rsid w:val="741920B7"/>
    <w:rsid w:val="741D7D62"/>
    <w:rsid w:val="74274051"/>
    <w:rsid w:val="742A03D9"/>
    <w:rsid w:val="74334EDD"/>
    <w:rsid w:val="74394C16"/>
    <w:rsid w:val="74397B64"/>
    <w:rsid w:val="743A1D6A"/>
    <w:rsid w:val="74486205"/>
    <w:rsid w:val="744C1DB4"/>
    <w:rsid w:val="744C4300"/>
    <w:rsid w:val="74522ADD"/>
    <w:rsid w:val="7465196A"/>
    <w:rsid w:val="74697489"/>
    <w:rsid w:val="746B3894"/>
    <w:rsid w:val="747977F5"/>
    <w:rsid w:val="74807164"/>
    <w:rsid w:val="74885903"/>
    <w:rsid w:val="749B420B"/>
    <w:rsid w:val="74A305F8"/>
    <w:rsid w:val="74AE732D"/>
    <w:rsid w:val="74BF62A2"/>
    <w:rsid w:val="74C0441C"/>
    <w:rsid w:val="74C71A07"/>
    <w:rsid w:val="74CC311F"/>
    <w:rsid w:val="74DD64BC"/>
    <w:rsid w:val="74DF0095"/>
    <w:rsid w:val="74E21D75"/>
    <w:rsid w:val="74EA7314"/>
    <w:rsid w:val="74ED249F"/>
    <w:rsid w:val="74F308E7"/>
    <w:rsid w:val="74F563DC"/>
    <w:rsid w:val="74F8653E"/>
    <w:rsid w:val="74FC709B"/>
    <w:rsid w:val="75020F51"/>
    <w:rsid w:val="75077EA7"/>
    <w:rsid w:val="750E6F22"/>
    <w:rsid w:val="751E3863"/>
    <w:rsid w:val="752331FD"/>
    <w:rsid w:val="752A213B"/>
    <w:rsid w:val="752D76AD"/>
    <w:rsid w:val="75322F2D"/>
    <w:rsid w:val="75367523"/>
    <w:rsid w:val="753B0AEC"/>
    <w:rsid w:val="753E466F"/>
    <w:rsid w:val="753E4AFA"/>
    <w:rsid w:val="75425D2B"/>
    <w:rsid w:val="75473288"/>
    <w:rsid w:val="754D1042"/>
    <w:rsid w:val="7552701E"/>
    <w:rsid w:val="755771E2"/>
    <w:rsid w:val="755C2C58"/>
    <w:rsid w:val="755E3015"/>
    <w:rsid w:val="757C09D4"/>
    <w:rsid w:val="75825832"/>
    <w:rsid w:val="758660F7"/>
    <w:rsid w:val="75867A8C"/>
    <w:rsid w:val="758C5D11"/>
    <w:rsid w:val="758F640A"/>
    <w:rsid w:val="75A02806"/>
    <w:rsid w:val="75A77B96"/>
    <w:rsid w:val="75BD2633"/>
    <w:rsid w:val="75BF7AFB"/>
    <w:rsid w:val="75C4250C"/>
    <w:rsid w:val="75C71392"/>
    <w:rsid w:val="75D269AE"/>
    <w:rsid w:val="75D65EDE"/>
    <w:rsid w:val="75D82A72"/>
    <w:rsid w:val="75DB105F"/>
    <w:rsid w:val="75E0573C"/>
    <w:rsid w:val="75E746A2"/>
    <w:rsid w:val="75F23D58"/>
    <w:rsid w:val="75F26586"/>
    <w:rsid w:val="75F5262E"/>
    <w:rsid w:val="75F87521"/>
    <w:rsid w:val="75FA0B70"/>
    <w:rsid w:val="75FA590A"/>
    <w:rsid w:val="75FC11D4"/>
    <w:rsid w:val="76035A56"/>
    <w:rsid w:val="76047A8D"/>
    <w:rsid w:val="760E6B9C"/>
    <w:rsid w:val="76104166"/>
    <w:rsid w:val="761F36C5"/>
    <w:rsid w:val="7621139D"/>
    <w:rsid w:val="762D665B"/>
    <w:rsid w:val="76300F22"/>
    <w:rsid w:val="7634155E"/>
    <w:rsid w:val="76381FAB"/>
    <w:rsid w:val="7642120C"/>
    <w:rsid w:val="7647428F"/>
    <w:rsid w:val="7647795F"/>
    <w:rsid w:val="76645AE7"/>
    <w:rsid w:val="7666520B"/>
    <w:rsid w:val="766A66DC"/>
    <w:rsid w:val="766D37EB"/>
    <w:rsid w:val="7673390D"/>
    <w:rsid w:val="767B3CC2"/>
    <w:rsid w:val="76805D33"/>
    <w:rsid w:val="76914A2C"/>
    <w:rsid w:val="76953FC3"/>
    <w:rsid w:val="76A47444"/>
    <w:rsid w:val="76AC0AEC"/>
    <w:rsid w:val="76B76559"/>
    <w:rsid w:val="76C1748B"/>
    <w:rsid w:val="76C92FE9"/>
    <w:rsid w:val="76CB66C2"/>
    <w:rsid w:val="76D0298F"/>
    <w:rsid w:val="76D71B2F"/>
    <w:rsid w:val="76D72961"/>
    <w:rsid w:val="76DA28C5"/>
    <w:rsid w:val="76DE63E9"/>
    <w:rsid w:val="76E3446C"/>
    <w:rsid w:val="76E57163"/>
    <w:rsid w:val="76E97048"/>
    <w:rsid w:val="76F10225"/>
    <w:rsid w:val="76F52A70"/>
    <w:rsid w:val="76F84648"/>
    <w:rsid w:val="76F87D14"/>
    <w:rsid w:val="76FD6DBE"/>
    <w:rsid w:val="76FF4AF8"/>
    <w:rsid w:val="77026BF1"/>
    <w:rsid w:val="7706499B"/>
    <w:rsid w:val="770C608C"/>
    <w:rsid w:val="77172D9C"/>
    <w:rsid w:val="77187228"/>
    <w:rsid w:val="7722052E"/>
    <w:rsid w:val="7726347E"/>
    <w:rsid w:val="77267F29"/>
    <w:rsid w:val="77272337"/>
    <w:rsid w:val="772B0E02"/>
    <w:rsid w:val="77361D8F"/>
    <w:rsid w:val="773934ED"/>
    <w:rsid w:val="773F6B8B"/>
    <w:rsid w:val="77460E8C"/>
    <w:rsid w:val="7753596D"/>
    <w:rsid w:val="77601843"/>
    <w:rsid w:val="77685CA5"/>
    <w:rsid w:val="777164C4"/>
    <w:rsid w:val="777872DE"/>
    <w:rsid w:val="777E1CBD"/>
    <w:rsid w:val="777F1F8A"/>
    <w:rsid w:val="77824F8C"/>
    <w:rsid w:val="77836EE2"/>
    <w:rsid w:val="77883034"/>
    <w:rsid w:val="778F53C8"/>
    <w:rsid w:val="77A340AF"/>
    <w:rsid w:val="77AC7F2F"/>
    <w:rsid w:val="77C03ECA"/>
    <w:rsid w:val="77D22778"/>
    <w:rsid w:val="77D509A4"/>
    <w:rsid w:val="77D72DCA"/>
    <w:rsid w:val="77D83AE7"/>
    <w:rsid w:val="77D964B7"/>
    <w:rsid w:val="77EA3F82"/>
    <w:rsid w:val="77EB5C69"/>
    <w:rsid w:val="77ED0383"/>
    <w:rsid w:val="77FC7EA1"/>
    <w:rsid w:val="77FF30EA"/>
    <w:rsid w:val="78030BB3"/>
    <w:rsid w:val="78051DE6"/>
    <w:rsid w:val="78052868"/>
    <w:rsid w:val="780C4D7B"/>
    <w:rsid w:val="78105447"/>
    <w:rsid w:val="78183D62"/>
    <w:rsid w:val="781E5BB3"/>
    <w:rsid w:val="782719FC"/>
    <w:rsid w:val="78291A3D"/>
    <w:rsid w:val="783177F4"/>
    <w:rsid w:val="78376779"/>
    <w:rsid w:val="7840644C"/>
    <w:rsid w:val="78424819"/>
    <w:rsid w:val="785A0C74"/>
    <w:rsid w:val="78665DAD"/>
    <w:rsid w:val="78684E9D"/>
    <w:rsid w:val="78693128"/>
    <w:rsid w:val="786A097D"/>
    <w:rsid w:val="786B0114"/>
    <w:rsid w:val="787604A8"/>
    <w:rsid w:val="788526FC"/>
    <w:rsid w:val="789325A8"/>
    <w:rsid w:val="78940774"/>
    <w:rsid w:val="789C5CC2"/>
    <w:rsid w:val="789E10D4"/>
    <w:rsid w:val="78A91820"/>
    <w:rsid w:val="78B55164"/>
    <w:rsid w:val="78B55E40"/>
    <w:rsid w:val="78BD011C"/>
    <w:rsid w:val="78CC0780"/>
    <w:rsid w:val="78CF013E"/>
    <w:rsid w:val="78D41BC4"/>
    <w:rsid w:val="78D7123D"/>
    <w:rsid w:val="78DA4AB2"/>
    <w:rsid w:val="78E45DC5"/>
    <w:rsid w:val="78E74107"/>
    <w:rsid w:val="78E829E1"/>
    <w:rsid w:val="78F4691D"/>
    <w:rsid w:val="78FF0814"/>
    <w:rsid w:val="7910132D"/>
    <w:rsid w:val="79111667"/>
    <w:rsid w:val="7911492F"/>
    <w:rsid w:val="791B1776"/>
    <w:rsid w:val="792546E2"/>
    <w:rsid w:val="79254E6A"/>
    <w:rsid w:val="79292660"/>
    <w:rsid w:val="79304279"/>
    <w:rsid w:val="79355101"/>
    <w:rsid w:val="79424D71"/>
    <w:rsid w:val="79433E9D"/>
    <w:rsid w:val="794A4ACB"/>
    <w:rsid w:val="795E2FD5"/>
    <w:rsid w:val="79602A01"/>
    <w:rsid w:val="79647CEF"/>
    <w:rsid w:val="7969335E"/>
    <w:rsid w:val="79707EB6"/>
    <w:rsid w:val="797A3158"/>
    <w:rsid w:val="797E45DD"/>
    <w:rsid w:val="798A09F8"/>
    <w:rsid w:val="798D2E4F"/>
    <w:rsid w:val="79936416"/>
    <w:rsid w:val="79956DF5"/>
    <w:rsid w:val="79983737"/>
    <w:rsid w:val="799F18BD"/>
    <w:rsid w:val="79A9542E"/>
    <w:rsid w:val="79B67472"/>
    <w:rsid w:val="79BE5DE1"/>
    <w:rsid w:val="79C1765B"/>
    <w:rsid w:val="79C61B41"/>
    <w:rsid w:val="79CD1AAA"/>
    <w:rsid w:val="79CE5D56"/>
    <w:rsid w:val="79D17363"/>
    <w:rsid w:val="79D65E05"/>
    <w:rsid w:val="79D82C2E"/>
    <w:rsid w:val="79D83551"/>
    <w:rsid w:val="79D91063"/>
    <w:rsid w:val="79E24263"/>
    <w:rsid w:val="79EA1C23"/>
    <w:rsid w:val="79F04129"/>
    <w:rsid w:val="79F21FD8"/>
    <w:rsid w:val="79FD4B82"/>
    <w:rsid w:val="79FE30E1"/>
    <w:rsid w:val="79FE6789"/>
    <w:rsid w:val="7A044F5E"/>
    <w:rsid w:val="7A0716CA"/>
    <w:rsid w:val="7A0D3F30"/>
    <w:rsid w:val="7A114BB5"/>
    <w:rsid w:val="7A14656B"/>
    <w:rsid w:val="7A22395F"/>
    <w:rsid w:val="7A246641"/>
    <w:rsid w:val="7A2A16D9"/>
    <w:rsid w:val="7A2D50E7"/>
    <w:rsid w:val="7A2F4A81"/>
    <w:rsid w:val="7A3005C8"/>
    <w:rsid w:val="7A334AE0"/>
    <w:rsid w:val="7A495661"/>
    <w:rsid w:val="7A4A2D6F"/>
    <w:rsid w:val="7A4D6899"/>
    <w:rsid w:val="7A5868E1"/>
    <w:rsid w:val="7A5E31C7"/>
    <w:rsid w:val="7A644AC4"/>
    <w:rsid w:val="7A654EF0"/>
    <w:rsid w:val="7A67529D"/>
    <w:rsid w:val="7A6922C1"/>
    <w:rsid w:val="7A7022C1"/>
    <w:rsid w:val="7A755AD2"/>
    <w:rsid w:val="7A7F5660"/>
    <w:rsid w:val="7A827221"/>
    <w:rsid w:val="7A8C0E77"/>
    <w:rsid w:val="7A9149C4"/>
    <w:rsid w:val="7A930150"/>
    <w:rsid w:val="7A936B9E"/>
    <w:rsid w:val="7A950696"/>
    <w:rsid w:val="7A97055E"/>
    <w:rsid w:val="7A972572"/>
    <w:rsid w:val="7AA34AEB"/>
    <w:rsid w:val="7AA743EE"/>
    <w:rsid w:val="7AB115E9"/>
    <w:rsid w:val="7ABF705F"/>
    <w:rsid w:val="7AC3585A"/>
    <w:rsid w:val="7AC91635"/>
    <w:rsid w:val="7ADE6CE8"/>
    <w:rsid w:val="7AE5658A"/>
    <w:rsid w:val="7AEB63DD"/>
    <w:rsid w:val="7AFF50E2"/>
    <w:rsid w:val="7B0B6E35"/>
    <w:rsid w:val="7B0E4A1C"/>
    <w:rsid w:val="7B120E50"/>
    <w:rsid w:val="7B17071C"/>
    <w:rsid w:val="7B1F6BF6"/>
    <w:rsid w:val="7B1F7F20"/>
    <w:rsid w:val="7B281031"/>
    <w:rsid w:val="7B2D4E59"/>
    <w:rsid w:val="7B3E404B"/>
    <w:rsid w:val="7B3E6F0C"/>
    <w:rsid w:val="7B464019"/>
    <w:rsid w:val="7B487574"/>
    <w:rsid w:val="7B4A187D"/>
    <w:rsid w:val="7B5B03C8"/>
    <w:rsid w:val="7B616B82"/>
    <w:rsid w:val="7B6507F0"/>
    <w:rsid w:val="7B677818"/>
    <w:rsid w:val="7B6F18EC"/>
    <w:rsid w:val="7B742FC3"/>
    <w:rsid w:val="7B7970D5"/>
    <w:rsid w:val="7B7C2D50"/>
    <w:rsid w:val="7B7C3D5E"/>
    <w:rsid w:val="7B8332C5"/>
    <w:rsid w:val="7B8E4016"/>
    <w:rsid w:val="7B933A33"/>
    <w:rsid w:val="7B956066"/>
    <w:rsid w:val="7B9B5776"/>
    <w:rsid w:val="7B9D7B56"/>
    <w:rsid w:val="7BA02A7A"/>
    <w:rsid w:val="7BA16F2D"/>
    <w:rsid w:val="7BA34715"/>
    <w:rsid w:val="7BB87E91"/>
    <w:rsid w:val="7BBA4C6D"/>
    <w:rsid w:val="7BBF7B42"/>
    <w:rsid w:val="7BC47370"/>
    <w:rsid w:val="7BCA3DDC"/>
    <w:rsid w:val="7BD7687B"/>
    <w:rsid w:val="7BE523DA"/>
    <w:rsid w:val="7BE85532"/>
    <w:rsid w:val="7BED1AFB"/>
    <w:rsid w:val="7BED6AB4"/>
    <w:rsid w:val="7BF521EB"/>
    <w:rsid w:val="7BF65A76"/>
    <w:rsid w:val="7BFE5B71"/>
    <w:rsid w:val="7C090308"/>
    <w:rsid w:val="7C0C5CB5"/>
    <w:rsid w:val="7C1306FE"/>
    <w:rsid w:val="7C1526D4"/>
    <w:rsid w:val="7C46732D"/>
    <w:rsid w:val="7C521E57"/>
    <w:rsid w:val="7C5279B8"/>
    <w:rsid w:val="7C535553"/>
    <w:rsid w:val="7C554668"/>
    <w:rsid w:val="7C563743"/>
    <w:rsid w:val="7C5B29CF"/>
    <w:rsid w:val="7C687993"/>
    <w:rsid w:val="7C6D5ED6"/>
    <w:rsid w:val="7C7DE9E7"/>
    <w:rsid w:val="7C7F0437"/>
    <w:rsid w:val="7C875361"/>
    <w:rsid w:val="7C927C87"/>
    <w:rsid w:val="7C9407DA"/>
    <w:rsid w:val="7C9E7D96"/>
    <w:rsid w:val="7CA15CB8"/>
    <w:rsid w:val="7CA2276B"/>
    <w:rsid w:val="7CAC4C79"/>
    <w:rsid w:val="7CB67DC0"/>
    <w:rsid w:val="7CB927F3"/>
    <w:rsid w:val="7CBD1EC8"/>
    <w:rsid w:val="7CCD5AC9"/>
    <w:rsid w:val="7CCD73D0"/>
    <w:rsid w:val="7CD25978"/>
    <w:rsid w:val="7CD67C88"/>
    <w:rsid w:val="7CE166EA"/>
    <w:rsid w:val="7CE93580"/>
    <w:rsid w:val="7CEC5ADC"/>
    <w:rsid w:val="7CFA373E"/>
    <w:rsid w:val="7CFA3CFB"/>
    <w:rsid w:val="7D000B73"/>
    <w:rsid w:val="7D0047C2"/>
    <w:rsid w:val="7D0F609E"/>
    <w:rsid w:val="7D1D738A"/>
    <w:rsid w:val="7D2D210B"/>
    <w:rsid w:val="7D2E1447"/>
    <w:rsid w:val="7D2F8DE1"/>
    <w:rsid w:val="7D3D38AB"/>
    <w:rsid w:val="7D413779"/>
    <w:rsid w:val="7D460B9E"/>
    <w:rsid w:val="7D481D24"/>
    <w:rsid w:val="7D482750"/>
    <w:rsid w:val="7D4E1D3F"/>
    <w:rsid w:val="7D4F436A"/>
    <w:rsid w:val="7D4F55E2"/>
    <w:rsid w:val="7D505D0F"/>
    <w:rsid w:val="7D546816"/>
    <w:rsid w:val="7D563E91"/>
    <w:rsid w:val="7D5B0EF5"/>
    <w:rsid w:val="7D5C69A3"/>
    <w:rsid w:val="7D5D38AE"/>
    <w:rsid w:val="7D5F3D52"/>
    <w:rsid w:val="7D6008FC"/>
    <w:rsid w:val="7D624503"/>
    <w:rsid w:val="7D626802"/>
    <w:rsid w:val="7D696143"/>
    <w:rsid w:val="7D6A45A3"/>
    <w:rsid w:val="7D6E53C3"/>
    <w:rsid w:val="7D737F36"/>
    <w:rsid w:val="7D7B394F"/>
    <w:rsid w:val="7D7F583E"/>
    <w:rsid w:val="7D810AC9"/>
    <w:rsid w:val="7D8564EE"/>
    <w:rsid w:val="7D856862"/>
    <w:rsid w:val="7D8953D3"/>
    <w:rsid w:val="7D8B14DE"/>
    <w:rsid w:val="7D8D1FBF"/>
    <w:rsid w:val="7D970FAC"/>
    <w:rsid w:val="7D9F0D2B"/>
    <w:rsid w:val="7D9F2B6E"/>
    <w:rsid w:val="7D9F62FE"/>
    <w:rsid w:val="7DAE23D3"/>
    <w:rsid w:val="7DB4614C"/>
    <w:rsid w:val="7DB95D66"/>
    <w:rsid w:val="7DBA74CB"/>
    <w:rsid w:val="7DBE2CFB"/>
    <w:rsid w:val="7DBF1D7F"/>
    <w:rsid w:val="7DBF27C3"/>
    <w:rsid w:val="7DC3398C"/>
    <w:rsid w:val="7DC55BCC"/>
    <w:rsid w:val="7DC9253D"/>
    <w:rsid w:val="7DCA0984"/>
    <w:rsid w:val="7DDC3E31"/>
    <w:rsid w:val="7DE37918"/>
    <w:rsid w:val="7DEA7677"/>
    <w:rsid w:val="7DF232D8"/>
    <w:rsid w:val="7DF44714"/>
    <w:rsid w:val="7DF64E35"/>
    <w:rsid w:val="7DFC6FC2"/>
    <w:rsid w:val="7DFF49A9"/>
    <w:rsid w:val="7E09086E"/>
    <w:rsid w:val="7E135DA3"/>
    <w:rsid w:val="7E1743E8"/>
    <w:rsid w:val="7E175904"/>
    <w:rsid w:val="7E1C6474"/>
    <w:rsid w:val="7E1E19FF"/>
    <w:rsid w:val="7E2D3630"/>
    <w:rsid w:val="7E2F2179"/>
    <w:rsid w:val="7E314AA9"/>
    <w:rsid w:val="7E3225E2"/>
    <w:rsid w:val="7E352319"/>
    <w:rsid w:val="7E361AAB"/>
    <w:rsid w:val="7E436A65"/>
    <w:rsid w:val="7E47374F"/>
    <w:rsid w:val="7E564D83"/>
    <w:rsid w:val="7E691AAA"/>
    <w:rsid w:val="7E693276"/>
    <w:rsid w:val="7E6D4E43"/>
    <w:rsid w:val="7E6D5D22"/>
    <w:rsid w:val="7E725C89"/>
    <w:rsid w:val="7E755EAD"/>
    <w:rsid w:val="7E784DF4"/>
    <w:rsid w:val="7E7E54AA"/>
    <w:rsid w:val="7E8C5D3C"/>
    <w:rsid w:val="7E9225DB"/>
    <w:rsid w:val="7EA51811"/>
    <w:rsid w:val="7EA521AD"/>
    <w:rsid w:val="7EB03500"/>
    <w:rsid w:val="7EB07115"/>
    <w:rsid w:val="7EB37EC7"/>
    <w:rsid w:val="7EB52EE8"/>
    <w:rsid w:val="7EB94F83"/>
    <w:rsid w:val="7EBC6F95"/>
    <w:rsid w:val="7ECE76CB"/>
    <w:rsid w:val="7ED14D09"/>
    <w:rsid w:val="7ED97E49"/>
    <w:rsid w:val="7EDC3451"/>
    <w:rsid w:val="7EDC7F0A"/>
    <w:rsid w:val="7EE1255F"/>
    <w:rsid w:val="7EE3391C"/>
    <w:rsid w:val="7EE3680A"/>
    <w:rsid w:val="7EE97587"/>
    <w:rsid w:val="7EF83738"/>
    <w:rsid w:val="7EF92886"/>
    <w:rsid w:val="7EFA78E6"/>
    <w:rsid w:val="7EFB24D2"/>
    <w:rsid w:val="7EFB6F92"/>
    <w:rsid w:val="7EFC08FE"/>
    <w:rsid w:val="7EFC1A7B"/>
    <w:rsid w:val="7F001B4D"/>
    <w:rsid w:val="7F00607B"/>
    <w:rsid w:val="7F0F5438"/>
    <w:rsid w:val="7F116418"/>
    <w:rsid w:val="7F26412C"/>
    <w:rsid w:val="7F28236A"/>
    <w:rsid w:val="7F2E2C68"/>
    <w:rsid w:val="7F2F4AA8"/>
    <w:rsid w:val="7F331D30"/>
    <w:rsid w:val="7F345D5C"/>
    <w:rsid w:val="7F37282D"/>
    <w:rsid w:val="7F3733FF"/>
    <w:rsid w:val="7F420F17"/>
    <w:rsid w:val="7F44789F"/>
    <w:rsid w:val="7F4718C5"/>
    <w:rsid w:val="7F491102"/>
    <w:rsid w:val="7F4C1FD9"/>
    <w:rsid w:val="7F5157A1"/>
    <w:rsid w:val="7F557C58"/>
    <w:rsid w:val="7F575AF6"/>
    <w:rsid w:val="7F5B5E9C"/>
    <w:rsid w:val="7F5C4FC8"/>
    <w:rsid w:val="7F5D41F3"/>
    <w:rsid w:val="7F610DEC"/>
    <w:rsid w:val="7F645445"/>
    <w:rsid w:val="7F6C669C"/>
    <w:rsid w:val="7F7A36CC"/>
    <w:rsid w:val="7F8117EC"/>
    <w:rsid w:val="7F811B10"/>
    <w:rsid w:val="7F817243"/>
    <w:rsid w:val="7F824EB2"/>
    <w:rsid w:val="7F930DDF"/>
    <w:rsid w:val="7FA03376"/>
    <w:rsid w:val="7FA42036"/>
    <w:rsid w:val="7FA9401C"/>
    <w:rsid w:val="7FC9636E"/>
    <w:rsid w:val="7FCD746C"/>
    <w:rsid w:val="7FD81D4E"/>
    <w:rsid w:val="7FE02A21"/>
    <w:rsid w:val="7FF47517"/>
    <w:rsid w:val="7FF52338"/>
    <w:rsid w:val="7FF6033D"/>
    <w:rsid w:val="7FFBEA35"/>
    <w:rsid w:val="9FE99EEA"/>
    <w:rsid w:val="B10EFA6B"/>
    <w:rsid w:val="BAFD519E"/>
    <w:rsid w:val="BD983060"/>
    <w:rsid w:val="F653A4CD"/>
    <w:rsid w:val="FFBF1590"/>
    <w:rsid w:val="FFDA6B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Batang"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qFormat="1"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eastAsia="Times New Roman" w:cs="Times New Roman"/>
      <w:lang w:val="en-GB" w:eastAsia="en-US" w:bidi="ar-SA"/>
    </w:rPr>
  </w:style>
  <w:style w:type="paragraph" w:styleId="2">
    <w:name w:val="heading 1"/>
    <w:basedOn w:val="1"/>
    <w:next w:val="1"/>
    <w:qFormat/>
    <w:uiPriority w:val="0"/>
    <w:pPr>
      <w:keepNext/>
      <w:keepLines/>
      <w:numPr>
        <w:ilvl w:val="0"/>
        <w:numId w:val="1"/>
      </w:numPr>
      <w:pBdr>
        <w:top w:val="single" w:color="auto" w:sz="12" w:space="3"/>
      </w:pBdr>
      <w:spacing w:before="240"/>
      <w:outlineLvl w:val="0"/>
    </w:pPr>
    <w:rPr>
      <w:rFonts w:ascii="Arial" w:hAnsi="Arial"/>
      <w:sz w:val="36"/>
    </w:rPr>
  </w:style>
  <w:style w:type="paragraph" w:styleId="3">
    <w:name w:val="heading 2"/>
    <w:basedOn w:val="2"/>
    <w:next w:val="1"/>
    <w:link w:val="65"/>
    <w:qFormat/>
    <w:uiPriority w:val="0"/>
    <w:pPr>
      <w:numPr>
        <w:ilvl w:val="1"/>
      </w:numPr>
      <w:pBdr>
        <w:top w:val="none" w:color="auto" w:sz="0" w:space="0"/>
      </w:pBdr>
      <w:spacing w:after="60"/>
      <w:outlineLvl w:val="1"/>
    </w:pPr>
    <w:rPr>
      <w:bCs/>
      <w:iCs/>
      <w:sz w:val="28"/>
      <w:szCs w:val="28"/>
    </w:rPr>
  </w:style>
  <w:style w:type="paragraph" w:styleId="4">
    <w:name w:val="heading 3"/>
    <w:basedOn w:val="3"/>
    <w:next w:val="1"/>
    <w:qFormat/>
    <w:uiPriority w:val="0"/>
    <w:pPr>
      <w:numPr>
        <w:ilvl w:val="2"/>
      </w:numPr>
      <w:tabs>
        <w:tab w:val="clear" w:pos="450"/>
      </w:tabs>
      <w:spacing w:after="240"/>
      <w:outlineLvl w:val="2"/>
    </w:pPr>
    <w:rPr>
      <w:rFonts w:cs="Arial"/>
      <w:sz w:val="24"/>
      <w:szCs w:val="26"/>
    </w:rPr>
  </w:style>
  <w:style w:type="paragraph" w:styleId="5">
    <w:name w:val="heading 4"/>
    <w:basedOn w:val="4"/>
    <w:next w:val="1"/>
    <w:qFormat/>
    <w:uiPriority w:val="0"/>
    <w:pPr>
      <w:numPr>
        <w:ilvl w:val="0"/>
        <w:numId w:val="0"/>
      </w:numPr>
      <w:spacing w:before="120" w:after="180"/>
      <w:ind w:left="1418" w:hanging="1418"/>
      <w:outlineLvl w:val="3"/>
    </w:pPr>
    <w:rPr>
      <w:rFonts w:cs="Times New Roman"/>
      <w:bCs w:val="0"/>
      <w:szCs w:val="20"/>
    </w:rPr>
  </w:style>
  <w:style w:type="paragraph" w:styleId="6">
    <w:name w:val="heading 5"/>
    <w:basedOn w:val="5"/>
    <w:next w:val="1"/>
    <w:qFormat/>
    <w:uiPriority w:val="0"/>
    <w:pPr>
      <w:spacing w:before="280" w:after="290" w:line="376" w:lineRule="auto"/>
      <w:outlineLvl w:val="4"/>
    </w:pPr>
    <w:rPr>
      <w:b/>
      <w:bCs/>
      <w:sz w:val="28"/>
      <w:szCs w:val="28"/>
    </w:rPr>
  </w:style>
  <w:style w:type="paragraph" w:styleId="7">
    <w:name w:val="heading 6"/>
    <w:basedOn w:val="1"/>
    <w:next w:val="1"/>
    <w:qFormat/>
    <w:uiPriority w:val="0"/>
    <w:pPr>
      <w:keepNext/>
      <w:keepLines/>
      <w:tabs>
        <w:tab w:val="left" w:pos="1152"/>
      </w:tabs>
      <w:spacing w:before="120"/>
      <w:ind w:left="1152" w:hanging="1152"/>
      <w:outlineLvl w:val="5"/>
    </w:pPr>
    <w:rPr>
      <w:rFonts w:ascii="Arial" w:hAnsi="Arial" w:eastAsia="Batang"/>
    </w:rPr>
  </w:style>
  <w:style w:type="paragraph" w:styleId="8">
    <w:name w:val="heading 7"/>
    <w:basedOn w:val="1"/>
    <w:next w:val="1"/>
    <w:qFormat/>
    <w:uiPriority w:val="0"/>
    <w:pPr>
      <w:keepNext/>
      <w:keepLines/>
      <w:tabs>
        <w:tab w:val="left" w:pos="1296"/>
      </w:tabs>
      <w:spacing w:before="120"/>
      <w:ind w:left="1296" w:hanging="1296"/>
      <w:outlineLvl w:val="6"/>
    </w:pPr>
    <w:rPr>
      <w:rFonts w:ascii="Arial" w:hAnsi="Arial" w:eastAsia="Batang"/>
    </w:rPr>
  </w:style>
  <w:style w:type="paragraph" w:styleId="9">
    <w:name w:val="heading 8"/>
    <w:basedOn w:val="2"/>
    <w:next w:val="1"/>
    <w:qFormat/>
    <w:uiPriority w:val="0"/>
    <w:pPr>
      <w:numPr>
        <w:numId w:val="0"/>
      </w:numPr>
      <w:tabs>
        <w:tab w:val="left" w:pos="1440"/>
      </w:tabs>
      <w:ind w:left="1440" w:hanging="1440"/>
      <w:outlineLvl w:val="7"/>
    </w:pPr>
    <w:rPr>
      <w:rFonts w:eastAsia="Batang"/>
    </w:rPr>
  </w:style>
  <w:style w:type="paragraph" w:styleId="10">
    <w:name w:val="heading 9"/>
    <w:basedOn w:val="9"/>
    <w:next w:val="1"/>
    <w:qFormat/>
    <w:uiPriority w:val="0"/>
    <w:pPr>
      <w:tabs>
        <w:tab w:val="left" w:pos="1584"/>
        <w:tab w:val="clear" w:pos="1440"/>
      </w:tabs>
      <w:ind w:left="1584" w:hanging="1584"/>
      <w:outlineLvl w:val="8"/>
    </w:pPr>
  </w:style>
  <w:style w:type="character" w:default="1" w:styleId="28">
    <w:name w:val="Default Paragraph Font"/>
    <w:unhideWhenUsed/>
    <w:qFormat/>
    <w:uiPriority w:val="1"/>
  </w:style>
  <w:style w:type="table" w:default="1" w:styleId="25">
    <w:name w:val="Normal Table"/>
    <w:unhideWhenUsed/>
    <w:qFormat/>
    <w:uiPriority w:val="99"/>
    <w:tblPr>
      <w:tblCellMar>
        <w:top w:w="0" w:type="dxa"/>
        <w:left w:w="108" w:type="dxa"/>
        <w:bottom w:w="0" w:type="dxa"/>
        <w:right w:w="108" w:type="dxa"/>
      </w:tblCellMar>
    </w:tblPr>
  </w:style>
  <w:style w:type="paragraph" w:styleId="11">
    <w:name w:val="List 3"/>
    <w:basedOn w:val="12"/>
    <w:qFormat/>
    <w:uiPriority w:val="0"/>
    <w:pPr>
      <w:tabs>
        <w:tab w:val="left" w:pos="425"/>
      </w:tabs>
      <w:ind w:left="400" w:leftChars="400"/>
    </w:pPr>
  </w:style>
  <w:style w:type="paragraph" w:styleId="12">
    <w:name w:val="List 2"/>
    <w:basedOn w:val="13"/>
    <w:qFormat/>
    <w:uiPriority w:val="0"/>
    <w:pPr>
      <w:tabs>
        <w:tab w:val="left" w:pos="425"/>
      </w:tabs>
      <w:ind w:left="100" w:leftChars="200" w:hanging="200" w:hangingChars="200"/>
    </w:pPr>
  </w:style>
  <w:style w:type="paragraph" w:styleId="13">
    <w:name w:val="List"/>
    <w:basedOn w:val="1"/>
    <w:qFormat/>
    <w:uiPriority w:val="0"/>
    <w:pPr>
      <w:tabs>
        <w:tab w:val="left" w:pos="425"/>
      </w:tabs>
      <w:ind w:left="425" w:hanging="425"/>
    </w:pPr>
  </w:style>
  <w:style w:type="paragraph" w:styleId="14">
    <w:name w:val="caption"/>
    <w:basedOn w:val="1"/>
    <w:next w:val="1"/>
    <w:link w:val="54"/>
    <w:qFormat/>
    <w:uiPriority w:val="0"/>
    <w:rPr>
      <w:b/>
      <w:bCs/>
    </w:rPr>
  </w:style>
  <w:style w:type="paragraph" w:styleId="15">
    <w:name w:val="Document Map"/>
    <w:basedOn w:val="1"/>
    <w:semiHidden/>
    <w:qFormat/>
    <w:uiPriority w:val="0"/>
    <w:pPr>
      <w:shd w:val="clear" w:color="auto" w:fill="000080"/>
    </w:pPr>
  </w:style>
  <w:style w:type="paragraph" w:styleId="16">
    <w:name w:val="annotation text"/>
    <w:basedOn w:val="1"/>
    <w:link w:val="56"/>
    <w:semiHidden/>
    <w:qFormat/>
    <w:uiPriority w:val="0"/>
  </w:style>
  <w:style w:type="paragraph" w:styleId="17">
    <w:name w:val="Body Text"/>
    <w:basedOn w:val="1"/>
    <w:qFormat/>
    <w:uiPriority w:val="0"/>
    <w:pPr>
      <w:overflowPunct w:val="0"/>
      <w:autoSpaceDE w:val="0"/>
      <w:autoSpaceDN w:val="0"/>
      <w:adjustRightInd w:val="0"/>
      <w:spacing w:after="120"/>
      <w:textAlignment w:val="baseline"/>
    </w:pPr>
    <w:rPr>
      <w:rFonts w:eastAsia="MS Mincho"/>
    </w:rPr>
  </w:style>
  <w:style w:type="paragraph" w:styleId="18">
    <w:name w:val="Balloon Text"/>
    <w:basedOn w:val="1"/>
    <w:semiHidden/>
    <w:qFormat/>
    <w:uiPriority w:val="0"/>
    <w:rPr>
      <w:rFonts w:ascii="Tahoma" w:hAnsi="Tahoma" w:cs="Tahoma"/>
      <w:sz w:val="16"/>
      <w:szCs w:val="16"/>
    </w:rPr>
  </w:style>
  <w:style w:type="paragraph" w:styleId="19">
    <w:name w:val="footer"/>
    <w:basedOn w:val="20"/>
    <w:qFormat/>
    <w:uiPriority w:val="0"/>
    <w:pPr>
      <w:jc w:val="center"/>
    </w:pPr>
    <w:rPr>
      <w:i/>
    </w:rPr>
  </w:style>
  <w:style w:type="paragraph" w:styleId="20">
    <w:name w:val="header"/>
    <w:link w:val="45"/>
    <w:qFormat/>
    <w:uiPriority w:val="0"/>
    <w:pPr>
      <w:widowControl w:val="0"/>
      <w:spacing w:after="160" w:line="259" w:lineRule="auto"/>
    </w:pPr>
    <w:rPr>
      <w:rFonts w:ascii="Arial" w:hAnsi="Arial" w:eastAsia="Times New Roman" w:cs="Times New Roman"/>
      <w:b/>
      <w:sz w:val="18"/>
      <w:lang w:val="en-GB" w:eastAsia="en-US" w:bidi="ar-SA"/>
    </w:rPr>
  </w:style>
  <w:style w:type="paragraph" w:styleId="21">
    <w:name w:val="List 5"/>
    <w:basedOn w:val="1"/>
    <w:qFormat/>
    <w:uiPriority w:val="0"/>
    <w:pPr>
      <w:ind w:left="100" w:leftChars="800" w:hanging="200" w:hangingChars="200"/>
    </w:pPr>
  </w:style>
  <w:style w:type="paragraph" w:styleId="22">
    <w:name w:val="List 4"/>
    <w:basedOn w:val="11"/>
    <w:qFormat/>
    <w:uiPriority w:val="0"/>
    <w:pPr>
      <w:ind w:left="600" w:leftChars="600"/>
    </w:pPr>
  </w:style>
  <w:style w:type="paragraph" w:styleId="23">
    <w:name w:val="Normal (Web)"/>
    <w:basedOn w:val="1"/>
    <w:unhideWhenUsed/>
    <w:qFormat/>
    <w:uiPriority w:val="0"/>
    <w:pPr>
      <w:spacing w:before="100" w:beforeAutospacing="1" w:after="100" w:afterAutospacing="1"/>
    </w:pPr>
    <w:rPr>
      <w:sz w:val="24"/>
      <w:szCs w:val="24"/>
      <w:lang w:val="en-US" w:eastAsia="zh-CN"/>
    </w:rPr>
  </w:style>
  <w:style w:type="paragraph" w:styleId="24">
    <w:name w:val="annotation subject"/>
    <w:basedOn w:val="16"/>
    <w:next w:val="16"/>
    <w:semiHidden/>
    <w:qFormat/>
    <w:uiPriority w:val="0"/>
    <w:rPr>
      <w:b/>
      <w:bCs/>
    </w:rPr>
  </w:style>
  <w:style w:type="table" w:styleId="26">
    <w:name w:val="Table Grid"/>
    <w:basedOn w:val="25"/>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27">
    <w:name w:val="Table Theme"/>
    <w:basedOn w:val="25"/>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9">
    <w:name w:val="Strong"/>
    <w:basedOn w:val="28"/>
    <w:qFormat/>
    <w:uiPriority w:val="0"/>
    <w:rPr>
      <w:b/>
    </w:rPr>
  </w:style>
  <w:style w:type="character" w:styleId="30">
    <w:name w:val="page number"/>
    <w:basedOn w:val="28"/>
    <w:qFormat/>
    <w:uiPriority w:val="0"/>
  </w:style>
  <w:style w:type="character" w:styleId="31">
    <w:name w:val="FollowedHyperlink"/>
    <w:qFormat/>
    <w:uiPriority w:val="0"/>
    <w:rPr>
      <w:color w:val="800080"/>
      <w:u w:val="single"/>
    </w:rPr>
  </w:style>
  <w:style w:type="character" w:styleId="32">
    <w:name w:val="Emphasis"/>
    <w:qFormat/>
    <w:uiPriority w:val="0"/>
    <w:rPr>
      <w:i/>
      <w:iCs/>
    </w:rPr>
  </w:style>
  <w:style w:type="character" w:styleId="33">
    <w:name w:val="Hyperlink"/>
    <w:qFormat/>
    <w:uiPriority w:val="99"/>
    <w:rPr>
      <w:color w:val="0000FF"/>
      <w:u w:val="single"/>
    </w:rPr>
  </w:style>
  <w:style w:type="character" w:styleId="34">
    <w:name w:val="annotation reference"/>
    <w:semiHidden/>
    <w:qFormat/>
    <w:uiPriority w:val="0"/>
    <w:rPr>
      <w:sz w:val="21"/>
      <w:szCs w:val="21"/>
    </w:rPr>
  </w:style>
  <w:style w:type="character" w:customStyle="1" w:styleId="35">
    <w:name w:val="PL Char"/>
    <w:link w:val="36"/>
    <w:qFormat/>
    <w:uiPriority w:val="0"/>
    <w:rPr>
      <w:rFonts w:ascii="Courier New" w:hAnsi="Courier New" w:eastAsia="宋体"/>
      <w:sz w:val="16"/>
      <w:lang w:val="en-GB" w:eastAsia="en-US" w:bidi="ar-SA"/>
    </w:rPr>
  </w:style>
  <w:style w:type="paragraph" w:customStyle="1" w:styleId="36">
    <w:name w:val="PL"/>
    <w:link w:val="35"/>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eastAsia="宋体" w:cs="Times New Roman"/>
      <w:sz w:val="16"/>
      <w:lang w:val="en-GB" w:eastAsia="en-US" w:bidi="ar-SA"/>
    </w:rPr>
  </w:style>
  <w:style w:type="character" w:customStyle="1" w:styleId="37">
    <w:name w:val="Doc-text2 Char"/>
    <w:link w:val="38"/>
    <w:qFormat/>
    <w:uiPriority w:val="0"/>
    <w:rPr>
      <w:rFonts w:ascii="Arial" w:hAnsi="Arial"/>
      <w:szCs w:val="24"/>
      <w:lang w:val="en-GB" w:eastAsia="en-GB"/>
    </w:rPr>
  </w:style>
  <w:style w:type="paragraph" w:customStyle="1" w:styleId="38">
    <w:name w:val="Doc-text2"/>
    <w:basedOn w:val="1"/>
    <w:link w:val="37"/>
    <w:qFormat/>
    <w:uiPriority w:val="0"/>
    <w:pPr>
      <w:tabs>
        <w:tab w:val="left" w:pos="1622"/>
      </w:tabs>
      <w:spacing w:after="0"/>
      <w:ind w:left="1622" w:hanging="363"/>
    </w:pPr>
    <w:rPr>
      <w:rFonts w:ascii="Arial" w:hAnsi="Arial" w:eastAsia="MS Mincho"/>
      <w:szCs w:val="24"/>
      <w:lang w:eastAsia="en-GB"/>
    </w:rPr>
  </w:style>
  <w:style w:type="character" w:customStyle="1" w:styleId="39">
    <w:name w:val="B4 Char"/>
    <w:link w:val="40"/>
    <w:qFormat/>
    <w:uiPriority w:val="0"/>
    <w:rPr>
      <w:rFonts w:eastAsia="宋体"/>
      <w:lang w:val="en-GB" w:eastAsia="en-US" w:bidi="ar-SA"/>
    </w:rPr>
  </w:style>
  <w:style w:type="paragraph" w:customStyle="1" w:styleId="40">
    <w:name w:val="B4"/>
    <w:basedOn w:val="22"/>
    <w:link w:val="39"/>
    <w:qFormat/>
    <w:uiPriority w:val="0"/>
    <w:pPr>
      <w:ind w:left="1418" w:leftChars="0" w:hanging="284" w:firstLineChars="0"/>
    </w:pPr>
    <w:rPr>
      <w:rFonts w:eastAsia="宋体"/>
    </w:rPr>
  </w:style>
  <w:style w:type="character" w:customStyle="1" w:styleId="41">
    <w:name w:val="TAL Char Char Char"/>
    <w:link w:val="42"/>
    <w:qFormat/>
    <w:uiPriority w:val="0"/>
    <w:rPr>
      <w:rFonts w:ascii="Arial" w:hAnsi="Arial" w:eastAsia="宋体"/>
      <w:sz w:val="18"/>
      <w:lang w:val="en-GB" w:eastAsia="en-US" w:bidi="ar-SA"/>
    </w:rPr>
  </w:style>
  <w:style w:type="paragraph" w:customStyle="1" w:styleId="42">
    <w:name w:val="TAL Char Char"/>
    <w:basedOn w:val="1"/>
    <w:link w:val="41"/>
    <w:qFormat/>
    <w:uiPriority w:val="0"/>
    <w:pPr>
      <w:keepNext/>
      <w:keepLines/>
      <w:overflowPunct w:val="0"/>
      <w:autoSpaceDE w:val="0"/>
      <w:autoSpaceDN w:val="0"/>
      <w:adjustRightInd w:val="0"/>
      <w:spacing w:after="0"/>
      <w:textAlignment w:val="baseline"/>
    </w:pPr>
    <w:rPr>
      <w:rFonts w:ascii="Arial" w:hAnsi="Arial" w:eastAsia="宋体"/>
      <w:sz w:val="18"/>
    </w:rPr>
  </w:style>
  <w:style w:type="character" w:customStyle="1" w:styleId="43">
    <w:name w:val="TAL Char"/>
    <w:qFormat/>
    <w:uiPriority w:val="0"/>
    <w:rPr>
      <w:rFonts w:ascii="Arial" w:hAnsi="Arial"/>
      <w:sz w:val="18"/>
      <w:lang w:val="en-GB" w:eastAsia="en-GB" w:bidi="ar-SA"/>
    </w:rPr>
  </w:style>
  <w:style w:type="character" w:customStyle="1" w:styleId="44">
    <w:name w:val="B1 Char"/>
    <w:qFormat/>
    <w:uiPriority w:val="0"/>
    <w:rPr>
      <w:rFonts w:eastAsia="MS Mincho"/>
      <w:lang w:val="en-GB" w:eastAsia="en-US" w:bidi="ar-SA"/>
    </w:rPr>
  </w:style>
  <w:style w:type="character" w:customStyle="1" w:styleId="45">
    <w:name w:val="页眉 Char"/>
    <w:link w:val="20"/>
    <w:qFormat/>
    <w:uiPriority w:val="0"/>
    <w:rPr>
      <w:rFonts w:ascii="Arial" w:hAnsi="Arial" w:eastAsia="Times New Roman"/>
      <w:b/>
      <w:sz w:val="18"/>
      <w:lang w:val="en-GB" w:eastAsia="en-US" w:bidi="ar-SA"/>
    </w:rPr>
  </w:style>
  <w:style w:type="character" w:customStyle="1" w:styleId="46">
    <w:name w:val="TAH Car"/>
    <w:link w:val="47"/>
    <w:qFormat/>
    <w:uiPriority w:val="0"/>
    <w:rPr>
      <w:rFonts w:ascii="Arial" w:hAnsi="Arial" w:eastAsia="宋体"/>
      <w:b/>
      <w:sz w:val="18"/>
      <w:lang w:val="en-GB" w:eastAsia="en-US"/>
    </w:rPr>
  </w:style>
  <w:style w:type="paragraph" w:customStyle="1" w:styleId="47">
    <w:name w:val="TAH"/>
    <w:basedOn w:val="48"/>
    <w:link w:val="46"/>
    <w:qFormat/>
    <w:uiPriority w:val="0"/>
    <w:rPr>
      <w:b/>
    </w:rPr>
  </w:style>
  <w:style w:type="paragraph" w:customStyle="1" w:styleId="48">
    <w:name w:val="TAC"/>
    <w:basedOn w:val="49"/>
    <w:link w:val="64"/>
    <w:qFormat/>
    <w:uiPriority w:val="0"/>
    <w:pPr>
      <w:jc w:val="center"/>
    </w:pPr>
  </w:style>
  <w:style w:type="paragraph" w:customStyle="1" w:styleId="49">
    <w:name w:val="TAL"/>
    <w:basedOn w:val="1"/>
    <w:link w:val="77"/>
    <w:qFormat/>
    <w:uiPriority w:val="0"/>
    <w:pPr>
      <w:keepNext/>
      <w:keepLines/>
      <w:spacing w:after="0"/>
    </w:pPr>
    <w:rPr>
      <w:rFonts w:ascii="Arial" w:hAnsi="Arial" w:eastAsia="宋体"/>
      <w:sz w:val="18"/>
    </w:rPr>
  </w:style>
  <w:style w:type="character" w:customStyle="1" w:styleId="50">
    <w:name w:val="B1 Char1"/>
    <w:link w:val="51"/>
    <w:qFormat/>
    <w:uiPriority w:val="0"/>
    <w:rPr>
      <w:rFonts w:eastAsia="宋体"/>
      <w:lang w:val="en-GB" w:eastAsia="en-US"/>
    </w:rPr>
  </w:style>
  <w:style w:type="paragraph" w:customStyle="1" w:styleId="51">
    <w:name w:val="B1"/>
    <w:basedOn w:val="13"/>
    <w:link w:val="50"/>
    <w:qFormat/>
    <w:uiPriority w:val="0"/>
    <w:pPr>
      <w:ind w:left="568" w:hanging="284"/>
    </w:pPr>
    <w:rPr>
      <w:rFonts w:eastAsia="宋体"/>
    </w:rPr>
  </w:style>
  <w:style w:type="character" w:customStyle="1" w:styleId="52">
    <w:name w:val="Comments Char"/>
    <w:qFormat/>
    <w:uiPriority w:val="0"/>
    <w:rPr>
      <w:rFonts w:ascii="Arial" w:hAnsi="Arial" w:eastAsia="MS Mincho" w:cs="Times New Roman"/>
      <w:i/>
      <w:sz w:val="24"/>
      <w:szCs w:val="24"/>
      <w:lang w:val="en-GB" w:eastAsia="en-GB"/>
    </w:rPr>
  </w:style>
  <w:style w:type="character" w:customStyle="1" w:styleId="53">
    <w:name w:val="Comments"/>
    <w:qFormat/>
    <w:uiPriority w:val="0"/>
    <w:rPr>
      <w:i/>
      <w:iCs/>
      <w:sz w:val="16"/>
    </w:rPr>
  </w:style>
  <w:style w:type="character" w:customStyle="1" w:styleId="54">
    <w:name w:val="题注 Char"/>
    <w:link w:val="14"/>
    <w:qFormat/>
    <w:uiPriority w:val="0"/>
    <w:rPr>
      <w:rFonts w:eastAsia="Times New Roman"/>
      <w:b/>
      <w:bCs/>
      <w:lang w:val="en-GB" w:eastAsia="en-US"/>
    </w:rPr>
  </w:style>
  <w:style w:type="character" w:customStyle="1" w:styleId="55">
    <w:name w:val="highlight"/>
    <w:basedOn w:val="28"/>
    <w:qFormat/>
    <w:uiPriority w:val="0"/>
  </w:style>
  <w:style w:type="character" w:customStyle="1" w:styleId="56">
    <w:name w:val="批注文字 Char"/>
    <w:link w:val="16"/>
    <w:semiHidden/>
    <w:qFormat/>
    <w:uiPriority w:val="0"/>
    <w:rPr>
      <w:rFonts w:eastAsia="Times New Roman"/>
      <w:lang w:val="en-GB" w:eastAsia="en-US"/>
    </w:rPr>
  </w:style>
  <w:style w:type="character" w:customStyle="1" w:styleId="57">
    <w:name w:val="B2 Char"/>
    <w:link w:val="58"/>
    <w:qFormat/>
    <w:uiPriority w:val="0"/>
    <w:rPr>
      <w:rFonts w:eastAsia="宋体"/>
      <w:lang w:val="en-GB" w:eastAsia="en-US" w:bidi="ar-SA"/>
    </w:rPr>
  </w:style>
  <w:style w:type="paragraph" w:customStyle="1" w:styleId="58">
    <w:name w:val="B2"/>
    <w:basedOn w:val="12"/>
    <w:link w:val="57"/>
    <w:qFormat/>
    <w:uiPriority w:val="0"/>
    <w:pPr>
      <w:ind w:left="851" w:leftChars="0" w:hanging="284" w:firstLineChars="0"/>
    </w:pPr>
    <w:rPr>
      <w:rFonts w:eastAsia="宋体"/>
    </w:rPr>
  </w:style>
  <w:style w:type="character" w:customStyle="1" w:styleId="59">
    <w:name w:val="List Paragraph Char"/>
    <w:link w:val="60"/>
    <w:qFormat/>
    <w:uiPriority w:val="34"/>
    <w:rPr>
      <w:rFonts w:eastAsia="Times New Roman"/>
      <w:lang w:val="en-GB" w:eastAsia="en-US"/>
    </w:rPr>
  </w:style>
  <w:style w:type="paragraph" w:customStyle="1" w:styleId="60">
    <w:name w:val="List Paragraph1"/>
    <w:basedOn w:val="1"/>
    <w:link w:val="59"/>
    <w:qFormat/>
    <w:uiPriority w:val="34"/>
    <w:pPr>
      <w:ind w:left="720"/>
      <w:contextualSpacing/>
    </w:pPr>
  </w:style>
  <w:style w:type="character" w:customStyle="1" w:styleId="61">
    <w:name w:val="short_text"/>
    <w:basedOn w:val="28"/>
    <w:qFormat/>
    <w:uiPriority w:val="0"/>
  </w:style>
  <w:style w:type="character" w:customStyle="1" w:styleId="62">
    <w:name w:val="B3 Char"/>
    <w:qFormat/>
    <w:uiPriority w:val="0"/>
    <w:rPr>
      <w:lang w:val="en-GB" w:eastAsia="ja-JP" w:bidi="ar-SA"/>
    </w:rPr>
  </w:style>
  <w:style w:type="character" w:customStyle="1" w:styleId="63">
    <w:name w:val="def"/>
    <w:basedOn w:val="28"/>
    <w:qFormat/>
    <w:uiPriority w:val="0"/>
  </w:style>
  <w:style w:type="character" w:customStyle="1" w:styleId="64">
    <w:name w:val="TAC Char"/>
    <w:link w:val="48"/>
    <w:qFormat/>
    <w:uiPriority w:val="0"/>
    <w:rPr>
      <w:rFonts w:ascii="Arial" w:hAnsi="Arial" w:eastAsia="宋体"/>
      <w:sz w:val="18"/>
      <w:lang w:val="en-GB" w:eastAsia="en-US"/>
    </w:rPr>
  </w:style>
  <w:style w:type="character" w:customStyle="1" w:styleId="65">
    <w:name w:val="标题 2 Char"/>
    <w:link w:val="3"/>
    <w:qFormat/>
    <w:uiPriority w:val="0"/>
    <w:rPr>
      <w:rFonts w:ascii="Arial" w:hAnsi="Arial" w:eastAsia="Times New Roman"/>
      <w:bCs/>
      <w:iCs/>
      <w:sz w:val="28"/>
      <w:szCs w:val="28"/>
      <w:lang w:val="en-GB" w:eastAsia="en-US"/>
    </w:rPr>
  </w:style>
  <w:style w:type="character" w:customStyle="1" w:styleId="66">
    <w:name w:val="TAN Char"/>
    <w:link w:val="67"/>
    <w:qFormat/>
    <w:uiPriority w:val="0"/>
    <w:rPr>
      <w:rFonts w:ascii="Arial" w:hAnsi="Arial" w:eastAsia="宋体"/>
      <w:sz w:val="18"/>
      <w:lang w:val="en-GB" w:eastAsia="ja-JP" w:bidi="ar-SA"/>
    </w:rPr>
  </w:style>
  <w:style w:type="paragraph" w:customStyle="1" w:styleId="67">
    <w:name w:val="TAN"/>
    <w:basedOn w:val="49"/>
    <w:link w:val="66"/>
    <w:qFormat/>
    <w:uiPriority w:val="0"/>
    <w:pPr>
      <w:overflowPunct w:val="0"/>
      <w:autoSpaceDE w:val="0"/>
      <w:autoSpaceDN w:val="0"/>
      <w:adjustRightInd w:val="0"/>
      <w:ind w:left="851" w:hanging="851"/>
      <w:textAlignment w:val="baseline"/>
    </w:pPr>
    <w:rPr>
      <w:lang w:eastAsia="ja-JP"/>
    </w:rPr>
  </w:style>
  <w:style w:type="character" w:customStyle="1" w:styleId="68">
    <w:name w:val="TF Char"/>
    <w:link w:val="69"/>
    <w:qFormat/>
    <w:uiPriority w:val="0"/>
    <w:rPr>
      <w:rFonts w:ascii="Arial" w:hAnsi="Arial"/>
      <w:b/>
      <w:lang w:val="en-GB" w:eastAsia="en-US" w:bidi="ar-SA"/>
    </w:rPr>
  </w:style>
  <w:style w:type="paragraph" w:customStyle="1" w:styleId="69">
    <w:name w:val="TF"/>
    <w:basedOn w:val="1"/>
    <w:link w:val="68"/>
    <w:qFormat/>
    <w:uiPriority w:val="0"/>
    <w:pPr>
      <w:keepLines/>
      <w:spacing w:after="240"/>
      <w:jc w:val="center"/>
    </w:pPr>
    <w:rPr>
      <w:rFonts w:ascii="Arial" w:hAnsi="Arial" w:eastAsia="MS Mincho"/>
      <w:b/>
    </w:rPr>
  </w:style>
  <w:style w:type="character" w:customStyle="1" w:styleId="70">
    <w:name w:val="NO Char"/>
    <w:link w:val="71"/>
    <w:qFormat/>
    <w:uiPriority w:val="0"/>
    <w:rPr>
      <w:rFonts w:eastAsia="宋体"/>
      <w:lang w:val="en-GB" w:eastAsia="en-US" w:bidi="ar-SA"/>
    </w:rPr>
  </w:style>
  <w:style w:type="paragraph" w:customStyle="1" w:styleId="71">
    <w:name w:val="NO"/>
    <w:basedOn w:val="1"/>
    <w:link w:val="70"/>
    <w:qFormat/>
    <w:uiPriority w:val="0"/>
    <w:pPr>
      <w:keepLines/>
      <w:ind w:left="1135" w:hanging="851"/>
    </w:pPr>
    <w:rPr>
      <w:rFonts w:eastAsia="宋体"/>
    </w:rPr>
  </w:style>
  <w:style w:type="character" w:customStyle="1" w:styleId="72">
    <w:name w:val="Placeholder Text1"/>
    <w:semiHidden/>
    <w:qFormat/>
    <w:uiPriority w:val="99"/>
    <w:rPr>
      <w:color w:val="808080"/>
    </w:rPr>
  </w:style>
  <w:style w:type="character" w:customStyle="1" w:styleId="73">
    <w:name w:val="hps"/>
    <w:basedOn w:val="28"/>
    <w:qFormat/>
    <w:uiPriority w:val="0"/>
  </w:style>
  <w:style w:type="character" w:customStyle="1" w:styleId="74">
    <w:name w:val="TH Char"/>
    <w:link w:val="75"/>
    <w:qFormat/>
    <w:uiPriority w:val="0"/>
    <w:rPr>
      <w:rFonts w:ascii="Arial" w:hAnsi="Arial" w:eastAsia="宋体"/>
      <w:b/>
      <w:lang w:val="en-GB" w:eastAsia="en-US" w:bidi="ar-SA"/>
    </w:rPr>
  </w:style>
  <w:style w:type="paragraph" w:customStyle="1" w:styleId="75">
    <w:name w:val="TH"/>
    <w:basedOn w:val="1"/>
    <w:link w:val="74"/>
    <w:qFormat/>
    <w:uiPriority w:val="0"/>
    <w:pPr>
      <w:keepNext/>
      <w:keepLines/>
      <w:spacing w:before="60"/>
      <w:jc w:val="center"/>
    </w:pPr>
    <w:rPr>
      <w:rFonts w:ascii="Arial" w:hAnsi="Arial" w:eastAsia="宋体"/>
      <w:b/>
    </w:rPr>
  </w:style>
  <w:style w:type="character" w:customStyle="1" w:styleId="76">
    <w:name w:val="B1 (文字)"/>
    <w:qFormat/>
    <w:uiPriority w:val="0"/>
    <w:rPr>
      <w:lang w:val="en-GB" w:eastAsia="ja-JP" w:bidi="ar-SA"/>
    </w:rPr>
  </w:style>
  <w:style w:type="character" w:customStyle="1" w:styleId="77">
    <w:name w:val="TAL Car"/>
    <w:link w:val="49"/>
    <w:qFormat/>
    <w:uiPriority w:val="0"/>
    <w:rPr>
      <w:rFonts w:ascii="Arial" w:hAnsi="Arial" w:eastAsia="宋体"/>
      <w:sz w:val="18"/>
      <w:lang w:val="en-GB" w:eastAsia="en-US" w:bidi="ar-SA"/>
    </w:rPr>
  </w:style>
  <w:style w:type="character" w:customStyle="1" w:styleId="78">
    <w:name w:val="TF Zchn"/>
    <w:qFormat/>
    <w:uiPriority w:val="0"/>
    <w:rPr>
      <w:rFonts w:ascii="Arial" w:hAnsi="Arial"/>
      <w:b/>
      <w:lang w:val="en-GB" w:eastAsia="en-GB" w:bidi="ar-SA"/>
    </w:rPr>
  </w:style>
  <w:style w:type="character" w:customStyle="1" w:styleId="79">
    <w:name w:val="B3 Char2"/>
    <w:link w:val="80"/>
    <w:qFormat/>
    <w:uiPriority w:val="0"/>
    <w:rPr>
      <w:rFonts w:eastAsia="宋体"/>
      <w:lang w:val="en-GB" w:eastAsia="en-US" w:bidi="ar-SA"/>
    </w:rPr>
  </w:style>
  <w:style w:type="paragraph" w:customStyle="1" w:styleId="80">
    <w:name w:val="B3"/>
    <w:basedOn w:val="11"/>
    <w:link w:val="79"/>
    <w:qFormat/>
    <w:uiPriority w:val="0"/>
    <w:pPr>
      <w:ind w:left="1135" w:leftChars="0" w:hanging="284" w:firstLineChars="0"/>
    </w:pPr>
    <w:rPr>
      <w:rFonts w:eastAsia="宋体"/>
    </w:rPr>
  </w:style>
  <w:style w:type="character" w:customStyle="1" w:styleId="81">
    <w:name w:val="Editor's Note Char"/>
    <w:link w:val="82"/>
    <w:qFormat/>
    <w:uiPriority w:val="0"/>
    <w:rPr>
      <w:color w:val="FF0000"/>
      <w:lang w:val="en-GB" w:eastAsia="en-US" w:bidi="ar-SA"/>
    </w:rPr>
  </w:style>
  <w:style w:type="paragraph" w:customStyle="1" w:styleId="82">
    <w:name w:val="Editor's Note"/>
    <w:basedOn w:val="71"/>
    <w:link w:val="81"/>
    <w:qFormat/>
    <w:uiPriority w:val="0"/>
    <w:rPr>
      <w:rFonts w:eastAsia="MS Mincho"/>
      <w:color w:val="FF0000"/>
    </w:rPr>
  </w:style>
  <w:style w:type="character" w:customStyle="1" w:styleId="83">
    <w:name w:val="apple-converted-space"/>
    <w:basedOn w:val="28"/>
    <w:qFormat/>
    <w:uiPriority w:val="0"/>
  </w:style>
  <w:style w:type="paragraph" w:customStyle="1" w:styleId="84">
    <w:name w:val="NW"/>
    <w:basedOn w:val="71"/>
    <w:qFormat/>
    <w:uiPriority w:val="0"/>
    <w:pPr>
      <w:spacing w:after="0"/>
    </w:pPr>
  </w:style>
  <w:style w:type="paragraph" w:customStyle="1" w:styleId="85">
    <w:name w:val="EQ"/>
    <w:basedOn w:val="1"/>
    <w:next w:val="1"/>
    <w:qFormat/>
    <w:uiPriority w:val="0"/>
    <w:pPr>
      <w:keepLines/>
      <w:tabs>
        <w:tab w:val="center" w:pos="4536"/>
        <w:tab w:val="right" w:pos="9072"/>
      </w:tabs>
    </w:pPr>
    <w:rPr>
      <w:rFonts w:eastAsia="宋体"/>
      <w:lang w:eastAsia="zh-CN"/>
    </w:rPr>
  </w:style>
  <w:style w:type="paragraph" w:customStyle="1" w:styleId="86">
    <w:name w:val="(文字) (文字)"/>
    <w:semiHidden/>
    <w:qFormat/>
    <w:uiPriority w:val="0"/>
    <w:pPr>
      <w:keepNext/>
      <w:tabs>
        <w:tab w:val="left" w:pos="851"/>
      </w:tabs>
      <w:autoSpaceDE w:val="0"/>
      <w:autoSpaceDN w:val="0"/>
      <w:adjustRightInd w:val="0"/>
      <w:spacing w:before="60" w:after="60" w:line="259" w:lineRule="auto"/>
      <w:ind w:left="851" w:hanging="851"/>
      <w:jc w:val="both"/>
    </w:pPr>
    <w:rPr>
      <w:rFonts w:ascii="Times New Roman" w:hAnsi="Times New Roman" w:eastAsia="宋体" w:cs="Arial"/>
      <w:color w:val="0000FF"/>
      <w:kern w:val="2"/>
      <w:sz w:val="22"/>
      <w:lang w:val="en-US" w:eastAsia="zh-CN" w:bidi="ar-SA"/>
    </w:rPr>
  </w:style>
  <w:style w:type="paragraph" w:customStyle="1" w:styleId="87">
    <w:name w:val="列出段落1"/>
    <w:basedOn w:val="1"/>
    <w:qFormat/>
    <w:uiPriority w:val="34"/>
    <w:pPr>
      <w:ind w:left="720"/>
      <w:contextualSpacing/>
    </w:pPr>
  </w:style>
  <w:style w:type="paragraph" w:customStyle="1" w:styleId="88">
    <w:name w:val="Char Char (文字) (文字) Char Char (文字) (文字) Char Char (文字) (文字) Char Char (文字) (文字) Char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89">
    <w:name w:val="Doc-title"/>
    <w:basedOn w:val="1"/>
    <w:next w:val="1"/>
    <w:qFormat/>
    <w:uiPriority w:val="0"/>
    <w:pPr>
      <w:spacing w:after="0"/>
      <w:ind w:left="1260" w:hanging="1260"/>
    </w:pPr>
    <w:rPr>
      <w:rFonts w:ascii="Arial" w:hAnsi="Arial" w:eastAsia="MS Mincho"/>
      <w:szCs w:val="24"/>
      <w:lang w:eastAsia="en-GB"/>
    </w:rPr>
  </w:style>
  <w:style w:type="paragraph" w:customStyle="1" w:styleId="90">
    <w:name w:val="Char Char Char Char"/>
    <w:basedOn w:val="1"/>
    <w:qFormat/>
    <w:uiPriority w:val="0"/>
    <w:pPr>
      <w:spacing w:after="160" w:line="240" w:lineRule="exact"/>
    </w:pPr>
    <w:rPr>
      <w:rFonts w:ascii="Verdana" w:hAnsi="Verdana" w:eastAsia="宋体"/>
      <w:lang w:val="en-US"/>
    </w:rPr>
  </w:style>
  <w:style w:type="paragraph" w:customStyle="1" w:styleId="91">
    <w:name w:val="text intend 1"/>
    <w:basedOn w:val="1"/>
    <w:qFormat/>
    <w:uiPriority w:val="0"/>
    <w:pPr>
      <w:numPr>
        <w:ilvl w:val="0"/>
        <w:numId w:val="2"/>
      </w:numPr>
      <w:spacing w:after="120"/>
      <w:jc w:val="both"/>
    </w:pPr>
    <w:rPr>
      <w:rFonts w:eastAsia="MS Mincho"/>
      <w:sz w:val="24"/>
      <w:lang w:val="en-US"/>
    </w:rPr>
  </w:style>
  <w:style w:type="paragraph" w:customStyle="1" w:styleId="92">
    <w:name w:val="Char Char Char Char Char Char"/>
    <w:basedOn w:val="1"/>
    <w:semiHidden/>
    <w:qFormat/>
    <w:uiPriority w:val="0"/>
    <w:pPr>
      <w:spacing w:after="160" w:line="240" w:lineRule="exact"/>
    </w:pPr>
    <w:rPr>
      <w:rFonts w:ascii="Arial" w:hAnsi="Arial" w:eastAsia="宋体" w:cs="Arial"/>
      <w:color w:val="0000FF"/>
      <w:kern w:val="2"/>
      <w:lang w:val="en-US" w:eastAsia="zh-CN"/>
    </w:rPr>
  </w:style>
  <w:style w:type="paragraph" w:customStyle="1" w:styleId="93">
    <w:name w:val="Char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94">
    <w:name w:val="CR Cover Page"/>
    <w:qFormat/>
    <w:uiPriority w:val="0"/>
    <w:pPr>
      <w:spacing w:after="120" w:line="259" w:lineRule="auto"/>
    </w:pPr>
    <w:rPr>
      <w:rFonts w:ascii="Arial" w:hAnsi="Arial" w:eastAsia="Batang" w:cs="Times New Roman"/>
      <w:lang w:val="en-GB" w:eastAsia="en-US" w:bidi="ar-SA"/>
    </w:rPr>
  </w:style>
  <w:style w:type="paragraph" w:customStyle="1" w:styleId="95">
    <w:name w:val="Style Heading 1NMP Heading 1H1h11h12h13h14h15h16app headin..."/>
    <w:basedOn w:val="2"/>
    <w:qFormat/>
    <w:uiPriority w:val="0"/>
    <w:pPr>
      <w:keepLines w:val="0"/>
      <w:numPr>
        <w:numId w:val="3"/>
      </w:numPr>
      <w:pBdr>
        <w:top w:val="none" w:color="auto" w:sz="0" w:space="0"/>
      </w:pBdr>
      <w:tabs>
        <w:tab w:val="left" w:pos="432"/>
      </w:tabs>
      <w:spacing w:after="60"/>
    </w:pPr>
    <w:rPr>
      <w:rFonts w:eastAsia="Batang" w:cs="Arial"/>
      <w:b/>
      <w:bCs/>
      <w:kern w:val="32"/>
      <w:sz w:val="28"/>
      <w:szCs w:val="32"/>
    </w:rPr>
  </w:style>
  <w:style w:type="paragraph" w:customStyle="1" w:styleId="96">
    <w:name w:val="Char Char1"/>
    <w:basedOn w:val="15"/>
    <w:qFormat/>
    <w:uiPriority w:val="0"/>
    <w:pPr>
      <w:widowControl w:val="0"/>
      <w:adjustRightInd w:val="0"/>
      <w:spacing w:after="0" w:line="436" w:lineRule="exact"/>
      <w:ind w:left="357"/>
      <w:outlineLvl w:val="3"/>
    </w:pPr>
    <w:rPr>
      <w:rFonts w:ascii="Tahoma" w:hAnsi="Tahoma" w:eastAsia="宋体"/>
      <w:b/>
      <w:kern w:val="2"/>
      <w:sz w:val="24"/>
      <w:szCs w:val="24"/>
      <w:lang w:val="en-US" w:eastAsia="zh-CN"/>
    </w:rPr>
  </w:style>
  <w:style w:type="paragraph" w:customStyle="1" w:styleId="97">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98">
    <w:name w:val="Char Char2 字元 字元 Car C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99">
    <w:name w:val="Char Char (文字) (文字) Char Char"/>
    <w:semiHidden/>
    <w:qFormat/>
    <w:uiPriority w:val="0"/>
    <w:pPr>
      <w:keepNext/>
      <w:numPr>
        <w:ilvl w:val="0"/>
        <w:numId w:val="4"/>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paragraph" w:customStyle="1" w:styleId="100">
    <w:name w:val="3GPP_Header"/>
    <w:basedOn w:val="1"/>
    <w:qFormat/>
    <w:uiPriority w:val="0"/>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101">
    <w:name w:val="ZB"/>
    <w:qFormat/>
    <w:uiPriority w:val="0"/>
    <w:pPr>
      <w:framePr w:w="10206" w:h="284" w:hRule="exact" w:wrap="notBeside" w:vAnchor="page" w:hAnchor="margin" w:y="1986"/>
      <w:widowControl w:val="0"/>
      <w:spacing w:after="160" w:line="259" w:lineRule="auto"/>
      <w:ind w:right="28"/>
      <w:jc w:val="right"/>
    </w:pPr>
    <w:rPr>
      <w:rFonts w:ascii="Arial" w:hAnsi="Arial" w:eastAsia="宋体" w:cs="Times New Roman"/>
      <w:i/>
      <w:lang w:val="en-GB" w:eastAsia="en-US" w:bidi="ar-SA"/>
    </w:rPr>
  </w:style>
  <w:style w:type="paragraph" w:customStyle="1" w:styleId="102">
    <w:name w:val="Reference"/>
    <w:basedOn w:val="1"/>
    <w:qFormat/>
    <w:uiPriority w:val="0"/>
    <w:pPr>
      <w:widowControl w:val="0"/>
      <w:numPr>
        <w:ilvl w:val="0"/>
        <w:numId w:val="5"/>
      </w:numPr>
      <w:spacing w:after="0"/>
      <w:jc w:val="both"/>
    </w:pPr>
    <w:rPr>
      <w:rFonts w:eastAsia="MS Mincho"/>
      <w:kern w:val="2"/>
      <w:sz w:val="21"/>
      <w:szCs w:val="24"/>
      <w:lang w:val="de-DE" w:eastAsia="ja-JP"/>
    </w:rPr>
  </w:style>
  <w:style w:type="paragraph" w:customStyle="1" w:styleId="103">
    <w:name w:val="Style4"/>
    <w:basedOn w:val="1"/>
    <w:qFormat/>
    <w:uiPriority w:val="0"/>
    <w:pPr>
      <w:keepNext/>
      <w:spacing w:before="480" w:after="120" w:line="380" w:lineRule="atLeast"/>
      <w:outlineLvl w:val="2"/>
    </w:pPr>
    <w:rPr>
      <w:rFonts w:ascii="Arial" w:hAnsi="Arial" w:cs="Arial"/>
      <w:b/>
      <w:sz w:val="28"/>
      <w:szCs w:val="28"/>
    </w:rPr>
  </w:style>
  <w:style w:type="paragraph" w:customStyle="1" w:styleId="104">
    <w:name w:val="标题2"/>
    <w:basedOn w:val="1"/>
    <w:qFormat/>
    <w:uiPriority w:val="0"/>
    <w:pPr>
      <w:widowControl w:val="0"/>
      <w:autoSpaceDE w:val="0"/>
      <w:autoSpaceDN w:val="0"/>
      <w:adjustRightInd w:val="0"/>
      <w:spacing w:after="0" w:line="360" w:lineRule="auto"/>
    </w:pPr>
    <w:rPr>
      <w:rFonts w:ascii="宋体" w:eastAsia="宋体"/>
      <w:sz w:val="24"/>
      <w:lang w:val="en-US" w:eastAsia="zh-CN"/>
    </w:rPr>
  </w:style>
  <w:style w:type="paragraph" w:customStyle="1" w:styleId="105">
    <w:name w:val="Char Char Char"/>
    <w:basedOn w:val="1"/>
    <w:semiHidden/>
    <w:qFormat/>
    <w:uiPriority w:val="0"/>
    <w:pPr>
      <w:spacing w:after="160" w:line="240" w:lineRule="exact"/>
    </w:pPr>
    <w:rPr>
      <w:rFonts w:ascii="Arial" w:hAnsi="Arial" w:eastAsia="宋体" w:cs="Arial"/>
      <w:color w:val="0000FF"/>
      <w:kern w:val="2"/>
      <w:lang w:val="en-US" w:eastAsia="zh-CN"/>
    </w:rPr>
  </w:style>
  <w:style w:type="paragraph" w:customStyle="1" w:styleId="106">
    <w:name w:val="Revision1"/>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07">
    <w:name w:val="Char Char 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08">
    <w:name w:val="references"/>
    <w:qFormat/>
    <w:uiPriority w:val="0"/>
    <w:pPr>
      <w:numPr>
        <w:ilvl w:val="0"/>
        <w:numId w:val="6"/>
      </w:numPr>
      <w:spacing w:after="50" w:line="180" w:lineRule="exact"/>
      <w:jc w:val="both"/>
    </w:pPr>
    <w:rPr>
      <w:rFonts w:ascii="Times New Roman" w:hAnsi="Times New Roman" w:eastAsia="MS Mincho" w:cs="Times New Roman"/>
      <w:szCs w:val="16"/>
      <w:lang w:val="en-US" w:eastAsia="en-US" w:bidi="ar-SA"/>
    </w:rPr>
  </w:style>
  <w:style w:type="paragraph" w:customStyle="1" w:styleId="109">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MS Mincho" w:cs="Times New Roman"/>
      <w:b/>
      <w:sz w:val="34"/>
      <w:lang w:val="en-GB" w:eastAsia="en-US" w:bidi="ar-SA"/>
    </w:rPr>
  </w:style>
  <w:style w:type="paragraph" w:customStyle="1" w:styleId="110">
    <w:name w:val="FP"/>
    <w:basedOn w:val="1"/>
    <w:qFormat/>
    <w:uiPriority w:val="0"/>
    <w:pPr>
      <w:spacing w:after="0"/>
    </w:pPr>
    <w:rPr>
      <w:rFonts w:eastAsia="宋体"/>
    </w:rPr>
  </w:style>
  <w:style w:type="paragraph" w:customStyle="1" w:styleId="111">
    <w:name w:val="Figure_Title"/>
    <w:basedOn w:val="1"/>
    <w:next w:val="1"/>
    <w:qFormat/>
    <w:uiPriority w:val="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112">
    <w:name w:val="Proposal"/>
    <w:basedOn w:val="1"/>
    <w:qFormat/>
    <w:uiPriority w:val="0"/>
    <w:pPr>
      <w:numPr>
        <w:ilvl w:val="0"/>
        <w:numId w:val="7"/>
      </w:numPr>
      <w:tabs>
        <w:tab w:val="left" w:pos="1701"/>
      </w:tabs>
      <w:overflowPunct w:val="0"/>
      <w:textAlignment w:val="baseline"/>
    </w:pPr>
    <w:rPr>
      <w:rFonts w:ascii="Arial" w:hAnsi="Arial" w:eastAsia="宋体"/>
      <w:b/>
      <w:bCs/>
      <w:lang w:eastAsia="zh-CN"/>
    </w:rPr>
  </w:style>
  <w:style w:type="paragraph" w:customStyle="1" w:styleId="113">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szCs w:val="24"/>
      <w:lang w:val="en-US" w:eastAsia="zh-CN" w:bidi="ar-SA"/>
    </w:rPr>
  </w:style>
  <w:style w:type="paragraph" w:customStyle="1" w:styleId="114">
    <w:name w:val="List Paragraph11"/>
    <w:basedOn w:val="1"/>
    <w:qFormat/>
    <w:uiPriority w:val="34"/>
    <w:pPr>
      <w:spacing w:after="200" w:line="276" w:lineRule="auto"/>
      <w:ind w:firstLine="420" w:firstLineChars="200"/>
    </w:pPr>
    <w:rPr>
      <w:rFonts w:ascii="Calibri" w:hAnsi="Calibri" w:eastAsia="Calibri"/>
      <w:sz w:val="22"/>
      <w:szCs w:val="22"/>
      <w:lang w:val="en-US"/>
    </w:rPr>
  </w:style>
  <w:style w:type="paragraph" w:customStyle="1" w:styleId="115">
    <w:name w:val="Char"/>
    <w:semiHidden/>
    <w:qFormat/>
    <w:uiPriority w:val="0"/>
    <w:pPr>
      <w:keepNext/>
      <w:tabs>
        <w:tab w:val="left" w:pos="851"/>
      </w:tabs>
      <w:autoSpaceDE w:val="0"/>
      <w:autoSpaceDN w:val="0"/>
      <w:adjustRightInd w:val="0"/>
      <w:spacing w:before="60" w:after="60" w:line="259" w:lineRule="auto"/>
      <w:ind w:left="851" w:hanging="851"/>
      <w:jc w:val="both"/>
    </w:pPr>
    <w:rPr>
      <w:rFonts w:ascii="Times New Roman" w:hAnsi="Times New Roman" w:eastAsia="宋体" w:cs="Arial"/>
      <w:color w:val="0000FF"/>
      <w:kern w:val="2"/>
      <w:sz w:val="22"/>
      <w:lang w:val="en-US" w:eastAsia="zh-CN" w:bidi="ar-SA"/>
    </w:rPr>
  </w:style>
  <w:style w:type="paragraph" w:customStyle="1" w:styleId="116">
    <w:name w:val="doc-title"/>
    <w:basedOn w:val="1"/>
    <w:qFormat/>
    <w:uiPriority w:val="0"/>
    <w:pPr>
      <w:spacing w:before="100" w:beforeAutospacing="1" w:after="100" w:afterAutospacing="1"/>
    </w:pPr>
    <w:rPr>
      <w:rFonts w:eastAsia="宋体"/>
      <w:sz w:val="24"/>
      <w:szCs w:val="24"/>
      <w:lang w:val="en-US" w:eastAsia="zh-CN"/>
    </w:rPr>
  </w:style>
  <w:style w:type="paragraph" w:customStyle="1" w:styleId="117">
    <w:name w:val="reference"/>
    <w:basedOn w:val="17"/>
    <w:qFormat/>
    <w:uiPriority w:val="0"/>
    <w:pPr>
      <w:numPr>
        <w:ilvl w:val="0"/>
        <w:numId w:val="8"/>
      </w:numPr>
      <w:tabs>
        <w:tab w:val="left" w:pos="360"/>
      </w:tabs>
      <w:overflowPunct/>
      <w:autoSpaceDE/>
      <w:autoSpaceDN/>
      <w:adjustRightInd/>
      <w:textAlignment w:val="auto"/>
    </w:pPr>
    <w:rPr>
      <w:rFonts w:ascii="Times" w:hAnsi="Times" w:eastAsia="Times New Roman"/>
      <w:szCs w:val="24"/>
      <w:lang w:val="en-US"/>
    </w:rPr>
  </w:style>
  <w:style w:type="paragraph" w:customStyle="1" w:styleId="118">
    <w:name w:val="Char Char Char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Times New Roman" w:hAnsi="Times New Roman" w:eastAsia="宋体" w:cs="Arial"/>
      <w:color w:val="0000FF"/>
      <w:kern w:val="2"/>
      <w:sz w:val="22"/>
      <w:lang w:val="en-US" w:eastAsia="zh-CN" w:bidi="ar-SA"/>
    </w:rPr>
  </w:style>
  <w:style w:type="paragraph" w:customStyle="1" w:styleId="119">
    <w:name w:val="B5"/>
    <w:basedOn w:val="21"/>
    <w:qFormat/>
    <w:uiPriority w:val="0"/>
    <w:pPr>
      <w:ind w:left="1702" w:leftChars="0" w:hanging="284" w:firstLineChars="0"/>
    </w:pPr>
    <w:rPr>
      <w:rFonts w:eastAsia="宋体"/>
    </w:rPr>
  </w:style>
  <w:style w:type="paragraph" w:customStyle="1" w:styleId="120">
    <w:name w:val="EW"/>
    <w:basedOn w:val="1"/>
    <w:qFormat/>
    <w:uiPriority w:val="0"/>
    <w:pPr>
      <w:keepLines/>
      <w:spacing w:after="0"/>
      <w:ind w:left="1702" w:hanging="1418"/>
    </w:pPr>
    <w:rPr>
      <w:rFonts w:eastAsia="宋体"/>
    </w:rPr>
  </w:style>
  <w:style w:type="paragraph" w:customStyle="1" w:styleId="121">
    <w:name w:val="列出段落2"/>
    <w:basedOn w:val="1"/>
    <w:qFormat/>
    <w:uiPriority w:val="99"/>
    <w:pPr>
      <w:ind w:left="720"/>
      <w:contextualSpacing/>
    </w:pPr>
  </w:style>
  <w:style w:type="paragraph" w:customStyle="1" w:styleId="122">
    <w:name w:val="列出段落3"/>
    <w:basedOn w:val="1"/>
    <w:qFormat/>
    <w:uiPriority w:val="34"/>
    <w:pPr>
      <w:overflowPunct w:val="0"/>
      <w:autoSpaceDE w:val="0"/>
      <w:autoSpaceDN w:val="0"/>
      <w:adjustRightInd w:val="0"/>
      <w:ind w:left="720"/>
      <w:contextualSpacing/>
      <w:textAlignment w:val="baseline"/>
    </w:pPr>
    <w:rPr>
      <w:rFonts w:eastAsia="宋体"/>
      <w:lang w:eastAsia="ja-JP"/>
    </w:rPr>
  </w:style>
  <w:style w:type="paragraph" w:customStyle="1" w:styleId="123">
    <w:name w:val="List Paragraph2"/>
    <w:basedOn w:val="1"/>
    <w:qFormat/>
    <w:uiPriority w:val="34"/>
    <w:pPr>
      <w:overflowPunct w:val="0"/>
      <w:autoSpaceDE w:val="0"/>
      <w:autoSpaceDN w:val="0"/>
      <w:adjustRightInd w:val="0"/>
      <w:ind w:left="720"/>
      <w:contextualSpacing/>
      <w:textAlignment w:val="baseline"/>
    </w:pPr>
    <w:rPr>
      <w:rFonts w:eastAsia="宋体"/>
      <w:lang w:eastAsia="ja-JP"/>
    </w:rPr>
  </w:style>
  <w:style w:type="paragraph" w:customStyle="1" w:styleId="124">
    <w:name w:val="List Paragraph3"/>
    <w:basedOn w:val="1"/>
    <w:qFormat/>
    <w:uiPriority w:val="34"/>
    <w:pPr>
      <w:overflowPunct w:val="0"/>
      <w:autoSpaceDE w:val="0"/>
      <w:autoSpaceDN w:val="0"/>
      <w:adjustRightInd w:val="0"/>
      <w:ind w:left="720"/>
      <w:contextualSpacing/>
      <w:textAlignment w:val="baseline"/>
    </w:pPr>
    <w:rPr>
      <w:rFonts w:eastAsia="宋体"/>
      <w:lang w:eastAsia="ja-JP"/>
    </w:rPr>
  </w:style>
  <w:style w:type="paragraph" w:customStyle="1" w:styleId="125">
    <w:name w:val="列出段落4"/>
    <w:basedOn w:val="1"/>
    <w:qFormat/>
    <w:uiPriority w:val="34"/>
    <w:pPr>
      <w:spacing w:after="0"/>
      <w:ind w:left="720"/>
      <w:contextualSpacing/>
    </w:pPr>
    <w:rPr>
      <w:sz w:val="24"/>
      <w:szCs w:val="24"/>
      <w:lang w:val="fi-FI" w:eastAsia="zh-CN"/>
    </w:rPr>
  </w:style>
  <w:style w:type="paragraph" w:customStyle="1" w:styleId="126">
    <w:name w:val="Agreement"/>
    <w:basedOn w:val="1"/>
    <w:next w:val="38"/>
    <w:qFormat/>
    <w:uiPriority w:val="0"/>
    <w:pPr>
      <w:numPr>
        <w:ilvl w:val="0"/>
        <w:numId w:val="9"/>
      </w:numPr>
      <w:spacing w:before="60" w:after="0"/>
    </w:pPr>
    <w:rPr>
      <w:rFonts w:eastAsia="MS Mincho"/>
      <w:b/>
      <w:szCs w:val="24"/>
      <w:lang w:eastAsia="en-GB"/>
    </w:rPr>
  </w:style>
  <w:style w:type="paragraph" w:customStyle="1" w:styleId="127">
    <w:name w:val="Revision2"/>
    <w:hidden/>
    <w:semiHidden/>
    <w:qFormat/>
    <w:uiPriority w:val="99"/>
    <w:rPr>
      <w:rFonts w:ascii="Times New Roman" w:hAnsi="Times New Roman" w:eastAsia="Times New Roman" w:cs="Times New Roman"/>
      <w:lang w:val="en-GB" w:eastAsia="en-US" w:bidi="ar-SA"/>
    </w:rPr>
  </w:style>
  <w:style w:type="paragraph" w:customStyle="1" w:styleId="128">
    <w:name w:val="正文3"/>
    <w:qFormat/>
    <w:uiPriority w:val="0"/>
    <w:rPr>
      <w:rFonts w:ascii="Times" w:hAnsi="Times" w:eastAsia="宋体" w:cs="Times"/>
      <w:sz w:val="24"/>
      <w:szCs w:val="24"/>
      <w:lang w:val="en-US" w:eastAsia="zh-CN" w:bidi="ar-SA"/>
    </w:rPr>
  </w:style>
  <w:style w:type="paragraph" w:customStyle="1" w:styleId="129">
    <w:name w:val="_Style 1"/>
    <w:basedOn w:val="1"/>
    <w:qFormat/>
    <w:uiPriority w:val="34"/>
    <w:pPr>
      <w:ind w:left="840" w:leftChars="400"/>
    </w:pPr>
  </w:style>
  <w:style w:type="paragraph" w:customStyle="1" w:styleId="130">
    <w:name w:val="b110"/>
    <w:basedOn w:val="1"/>
    <w:qFormat/>
    <w:uiPriority w:val="0"/>
    <w:pPr>
      <w:spacing w:before="75" w:after="75"/>
    </w:pPr>
    <w:rPr>
      <w:sz w:val="24"/>
      <w:szCs w:val="24"/>
      <w:lang w:val="en-US" w:eastAsia="zh-CN"/>
    </w:rPr>
  </w:style>
  <w:style w:type="character" w:customStyle="1" w:styleId="131">
    <w:name w:val="normaltextrun"/>
    <w:qFormat/>
    <w:uiPriority w:val="0"/>
  </w:style>
  <w:style w:type="paragraph" w:customStyle="1" w:styleId="132">
    <w:name w:val="List Paragraph"/>
    <w:basedOn w:val="1"/>
    <w:qFormat/>
    <w:uiPriority w:val="34"/>
    <w:pPr>
      <w:ind w:left="840" w:leftChars="400"/>
    </w:pPr>
    <w:rPr>
      <w:lang w:eastAsia="zh-CN"/>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2.emf"/><Relationship Id="rId7" Type="http://schemas.openxmlformats.org/officeDocument/2006/relationships/oleObject" Target="embeddings/oleObject1.bin"/><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23.wmf"/><Relationship Id="rId31" Type="http://schemas.openxmlformats.org/officeDocument/2006/relationships/image" Target="media/image22.wmf"/><Relationship Id="rId30" Type="http://schemas.openxmlformats.org/officeDocument/2006/relationships/image" Target="media/image21.wmf"/><Relationship Id="rId3" Type="http://schemas.openxmlformats.org/officeDocument/2006/relationships/footer" Target="footer1.xml"/><Relationship Id="rId29" Type="http://schemas.openxmlformats.org/officeDocument/2006/relationships/image" Target="media/image20.wmf"/><Relationship Id="rId28" Type="http://schemas.openxmlformats.org/officeDocument/2006/relationships/image" Target="media/image19.wmf"/><Relationship Id="rId27" Type="http://schemas.openxmlformats.org/officeDocument/2006/relationships/image" Target="media/image18.wmf"/><Relationship Id="rId26" Type="http://schemas.openxmlformats.org/officeDocument/2006/relationships/image" Target="media/image17.e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oleObject" Target="embeddings/oleObject4.bin"/><Relationship Id="rId11" Type="http://schemas.openxmlformats.org/officeDocument/2006/relationships/oleObject" Target="embeddings/oleObject3.bin"/><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ZTE</Company>
  <Pages>22</Pages>
  <Words>5513</Words>
  <Characters>31429</Characters>
  <Lines>261</Lines>
  <Paragraphs>73</Paragraphs>
  <TotalTime>11</TotalTime>
  <ScaleCrop>false</ScaleCrop>
  <LinksUpToDate>false</LinksUpToDate>
  <CharactersWithSpaces>36869</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2021-08-07T02:59:00Z</dcterms:created>
  <dc:creator>ZTE</dc:creator>
  <cp:lastModifiedBy>ZTE-Yang Ling</cp:lastModifiedBy>
  <cp:lastPrinted>2018-02-17T23:29:00Z</cp:lastPrinted>
  <dcterms:modified xsi:type="dcterms:W3CDTF">2021-10-01T14:00:46Z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